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asciiTheme="majorEastAsia" w:hAnsiTheme="majorEastAsia" w:eastAsiaTheme="majorEastAsia"/>
          <w:color w:val="auto"/>
          <w:kern w:val="0"/>
          <w:sz w:val="44"/>
          <w:szCs w:val="44"/>
        </w:rPr>
      </w:pPr>
    </w:p>
    <w:p>
      <w:pPr>
        <w:jc w:val="center"/>
        <w:rPr>
          <w:rFonts w:cs="宋体" w:asciiTheme="majorEastAsia" w:hAnsiTheme="majorEastAsia" w:eastAsiaTheme="majorEastAsia"/>
          <w:color w:val="auto"/>
          <w:kern w:val="0"/>
          <w:sz w:val="44"/>
          <w:szCs w:val="44"/>
        </w:rPr>
      </w:pPr>
    </w:p>
    <w:p>
      <w:pPr>
        <w:jc w:val="right"/>
        <w:rPr>
          <w:rFonts w:ascii="仿宋" w:hAnsi="仿宋" w:eastAsia="仿宋"/>
          <w:color w:val="auto"/>
          <w:sz w:val="32"/>
          <w:szCs w:val="32"/>
        </w:rPr>
      </w:pPr>
    </w:p>
    <w:p>
      <w:pPr>
        <w:jc w:val="center"/>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ascii="仿宋" w:hAnsi="仿宋" w:eastAsia="仿宋"/>
          <w:color w:val="auto"/>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olor w:val="auto"/>
          <w:sz w:val="32"/>
          <w:szCs w:val="32"/>
        </w:rPr>
      </w:pPr>
      <w:r>
        <w:rPr>
          <w:rFonts w:hint="eastAsia" w:ascii="仿宋" w:hAnsi="仿宋" w:eastAsia="仿宋"/>
          <w:color w:val="auto"/>
          <w:sz w:val="32"/>
          <w:szCs w:val="32"/>
        </w:rPr>
        <w:t>新知</w:t>
      </w:r>
      <w:r>
        <w:rPr>
          <w:rFonts w:hint="eastAsia" w:ascii="仿宋" w:hAnsi="仿宋" w:eastAsia="仿宋"/>
          <w:color w:val="auto"/>
          <w:sz w:val="32"/>
          <w:szCs w:val="32"/>
          <w:lang w:val="en-US" w:eastAsia="zh-CN"/>
        </w:rPr>
        <w:t>保</w:t>
      </w:r>
      <w:r>
        <w:rPr>
          <w:rFonts w:hint="eastAsia" w:ascii="仿宋" w:hAnsi="仿宋" w:eastAsia="仿宋"/>
          <w:color w:val="auto"/>
          <w:sz w:val="32"/>
          <w:szCs w:val="32"/>
        </w:rPr>
        <w:t>〔202</w:t>
      </w:r>
      <w:r>
        <w:rPr>
          <w:rFonts w:hint="default" w:ascii="仿宋" w:hAnsi="仿宋" w:eastAsia="仿宋"/>
          <w:color w:val="auto"/>
          <w:sz w:val="32"/>
          <w:szCs w:val="32"/>
          <w:lang w:val="en-US" w:eastAsia="zh-CN"/>
        </w:rPr>
        <w:t>2</w:t>
      </w:r>
      <w:r>
        <w:rPr>
          <w:rFonts w:hint="eastAsia" w:ascii="仿宋" w:hAnsi="仿宋" w:eastAsia="仿宋"/>
          <w:color w:val="auto"/>
          <w:sz w:val="32"/>
          <w:szCs w:val="32"/>
        </w:rPr>
        <w:t>〕号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color w:val="auto"/>
          <w:sz w:val="32"/>
          <w:szCs w:val="32"/>
        </w:rPr>
      </w:pPr>
    </w:p>
    <w:p>
      <w:pPr>
        <w:widowControl/>
        <w:spacing w:line="700" w:lineRule="exact"/>
        <w:jc w:val="center"/>
        <w:rPr>
          <w:rFonts w:hint="eastAsia" w:ascii="方正小标宋简体" w:hAnsi="宋体" w:eastAsia="方正小标宋简体"/>
          <w:color w:val="auto"/>
          <w:sz w:val="44"/>
          <w:szCs w:val="44"/>
          <w:lang w:eastAsia="zh-CN"/>
        </w:rPr>
      </w:pPr>
      <w:r>
        <w:rPr>
          <w:rFonts w:hint="eastAsia" w:ascii="方正小标宋简体" w:hAnsi="宋体" w:eastAsia="方正小标宋简体"/>
          <w:color w:val="auto"/>
          <w:sz w:val="44"/>
          <w:szCs w:val="44"/>
        </w:rPr>
        <w:t>新乡市知识产权维权</w:t>
      </w:r>
      <w:r>
        <w:rPr>
          <w:rFonts w:hint="eastAsia" w:ascii="方正小标宋简体" w:hAnsi="宋体" w:eastAsia="方正小标宋简体"/>
          <w:color w:val="auto"/>
          <w:sz w:val="44"/>
          <w:szCs w:val="44"/>
          <w:lang w:eastAsia="zh-CN"/>
        </w:rPr>
        <w:t>保护中心</w:t>
      </w:r>
    </w:p>
    <w:p>
      <w:pPr>
        <w:widowControl/>
        <w:spacing w:line="700" w:lineRule="exact"/>
        <w:jc w:val="center"/>
        <w:rPr>
          <w:rFonts w:hint="eastAsia" w:ascii="方正小标宋简体" w:hAnsi="宋体" w:eastAsia="方正小标宋简体"/>
          <w:color w:val="auto"/>
          <w:sz w:val="44"/>
          <w:szCs w:val="44"/>
        </w:rPr>
      </w:pPr>
      <w:r>
        <w:rPr>
          <w:rFonts w:hint="eastAsia" w:ascii="方正小标宋简体" w:hAnsi="宋体" w:eastAsia="方正小标宋简体"/>
          <w:color w:val="auto"/>
          <w:sz w:val="44"/>
          <w:szCs w:val="44"/>
        </w:rPr>
        <w:t>关于印发《中国（新乡）知识产权</w:t>
      </w:r>
      <w:bookmarkStart w:id="0" w:name="_Toc9629"/>
      <w:r>
        <w:rPr>
          <w:rFonts w:hint="eastAsia" w:ascii="方正小标宋简体" w:hAnsi="宋体" w:eastAsia="方正小标宋简体"/>
          <w:color w:val="auto"/>
          <w:sz w:val="44"/>
          <w:szCs w:val="44"/>
          <w:lang w:eastAsia="zh-CN"/>
        </w:rPr>
        <w:t>保护中心</w:t>
      </w:r>
      <w:bookmarkEnd w:id="0"/>
      <w:r>
        <w:rPr>
          <w:rFonts w:hint="eastAsia" w:ascii="方正小标宋简体" w:hAnsi="宋体" w:eastAsia="方正小标宋简体"/>
          <w:color w:val="auto"/>
          <w:sz w:val="44"/>
          <w:szCs w:val="44"/>
          <w:lang w:val="en-US" w:eastAsia="zh-CN"/>
        </w:rPr>
        <w:t>申请主体和代理机构信用星级培育管理暂行办法</w:t>
      </w:r>
      <w:r>
        <w:rPr>
          <w:rFonts w:hint="eastAsia" w:ascii="方正小标宋简体" w:hAnsi="宋体" w:eastAsia="方正小标宋简体"/>
          <w:color w:val="auto"/>
          <w:sz w:val="44"/>
          <w:szCs w:val="44"/>
        </w:rPr>
        <w:t>》的通知</w:t>
      </w:r>
    </w:p>
    <w:p>
      <w:pPr>
        <w:spacing w:line="520" w:lineRule="exact"/>
        <w:rPr>
          <w:rFonts w:hint="eastAsia" w:ascii="方正小标宋简体" w:hAnsi="宋体" w:eastAsia="方正小标宋简体"/>
          <w:color w:val="auto"/>
          <w:sz w:val="44"/>
          <w:szCs w:val="44"/>
        </w:rPr>
      </w:pPr>
    </w:p>
    <w:p>
      <w:pPr>
        <w:spacing w:line="600" w:lineRule="exact"/>
        <w:rPr>
          <w:rFonts w:ascii="仿宋_GB2312" w:hAnsi="宋体" w:eastAsia="仿宋_GB2312"/>
          <w:color w:val="auto"/>
          <w:sz w:val="32"/>
          <w:szCs w:val="32"/>
        </w:rPr>
      </w:pPr>
      <w:r>
        <w:rPr>
          <w:rFonts w:hint="eastAsia" w:ascii="仿宋_GB2312" w:hAnsi="宋体" w:eastAsia="仿宋_GB2312"/>
          <w:color w:val="auto"/>
          <w:sz w:val="32"/>
          <w:szCs w:val="32"/>
          <w:lang w:val="en-US" w:eastAsia="zh-CN"/>
        </w:rPr>
        <w:t>各有关单位</w:t>
      </w:r>
      <w:r>
        <w:rPr>
          <w:rFonts w:hint="eastAsia" w:ascii="仿宋_GB2312" w:hAnsi="宋体" w:eastAsia="仿宋_GB2312"/>
          <w:color w:val="auto"/>
          <w:sz w:val="32"/>
          <w:szCs w:val="32"/>
        </w:rPr>
        <w:t>：</w:t>
      </w:r>
    </w:p>
    <w:p>
      <w:pPr>
        <w:spacing w:line="600" w:lineRule="exact"/>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为加快推进知识产权信用体系建设，</w:t>
      </w:r>
      <w:r>
        <w:rPr>
          <w:rFonts w:hint="eastAsia" w:ascii="仿宋_GB2312" w:hAnsi="宋体" w:eastAsia="仿宋_GB2312"/>
          <w:color w:val="auto"/>
          <w:sz w:val="32"/>
          <w:szCs w:val="32"/>
          <w:lang w:val="en-US" w:eastAsia="zh-CN"/>
        </w:rPr>
        <w:t>引导申请主体和代理机构逐步提升专利申请质量，为专利预审工作高质量开展提供坚强保证，根据《新乡市市场监监督管理局关于贯彻落实&lt;河南省市场监督管理局企业信用风险分类管理办法（试行）&gt;的通知》（新市监</w:t>
      </w:r>
      <w:r>
        <w:rPr>
          <w:rFonts w:hint="eastAsia" w:ascii="仿宋" w:hAnsi="仿宋" w:eastAsia="仿宋"/>
          <w:color w:val="auto"/>
          <w:sz w:val="32"/>
          <w:szCs w:val="32"/>
        </w:rPr>
        <w:t>〔202</w:t>
      </w:r>
      <w:r>
        <w:rPr>
          <w:rFonts w:hint="eastAsia" w:ascii="仿宋" w:hAnsi="仿宋" w:eastAsia="仿宋"/>
          <w:color w:val="auto"/>
          <w:sz w:val="32"/>
          <w:szCs w:val="32"/>
          <w:lang w:val="en-US" w:eastAsia="zh-CN"/>
        </w:rPr>
        <w:t>1</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183</w:t>
      </w:r>
      <w:r>
        <w:rPr>
          <w:rFonts w:hint="eastAsia" w:ascii="仿宋" w:hAnsi="仿宋" w:eastAsia="仿宋"/>
          <w:color w:val="auto"/>
          <w:sz w:val="32"/>
          <w:szCs w:val="32"/>
        </w:rPr>
        <w:t>号</w:t>
      </w:r>
      <w:r>
        <w:rPr>
          <w:rFonts w:hint="eastAsia" w:ascii="仿宋_GB2312" w:hAnsi="宋体" w:eastAsia="仿宋_GB2312"/>
          <w:color w:val="auto"/>
          <w:sz w:val="32"/>
          <w:szCs w:val="32"/>
          <w:lang w:val="en-US" w:eastAsia="zh-CN"/>
        </w:rPr>
        <w:t xml:space="preserve">），现印发《中国（新乡）知识产权保护中心申请主体和代理机构信用星级培育管理暂行办法》，推动建立以信用为基础、以高质量申请为导向、以分级分类管理和动态管理为手段的申请主体和代理机构信用星级培育管理机制，逐步培育一批自主创新能力强、高价值专利多、专利申请质量高的知识产权高星级企业、高校和科研院所，培育一批代理水平高、信用基础好的高星级代理机构，为新乡营造良好的创新环境和营商环境提供有力支撑。                           </w:t>
      </w:r>
    </w:p>
    <w:p>
      <w:pPr>
        <w:spacing w:line="600" w:lineRule="exact"/>
        <w:jc w:val="center"/>
        <w:rPr>
          <w:rFonts w:hint="eastAsia" w:ascii="仿宋_GB2312" w:hAnsi="宋体" w:eastAsia="仿宋_GB2312"/>
          <w:color w:val="auto"/>
          <w:sz w:val="32"/>
          <w:szCs w:val="32"/>
          <w:lang w:val="en-US" w:eastAsia="zh-CN"/>
        </w:rPr>
      </w:pPr>
    </w:p>
    <w:p>
      <w:pPr>
        <w:spacing w:line="600" w:lineRule="exact"/>
        <w:jc w:val="center"/>
        <w:rPr>
          <w:rFonts w:hint="eastAsia" w:ascii="仿宋_GB2312" w:hAnsi="宋体" w:eastAsia="仿宋_GB2312"/>
          <w:color w:val="auto"/>
          <w:sz w:val="32"/>
          <w:szCs w:val="32"/>
          <w:lang w:val="en-US" w:eastAsia="zh-CN"/>
        </w:rPr>
      </w:pPr>
    </w:p>
    <w:p>
      <w:pPr>
        <w:spacing w:line="600" w:lineRule="exact"/>
        <w:jc w:val="center"/>
        <w:rPr>
          <w:rFonts w:hint="eastAsia" w:ascii="仿宋_GB2312" w:hAnsi="宋体" w:eastAsia="仿宋_GB2312"/>
          <w:color w:val="auto"/>
          <w:sz w:val="32"/>
          <w:szCs w:val="32"/>
        </w:rPr>
        <w:sectPr>
          <w:footerReference r:id="rId3" w:type="default"/>
          <w:footerReference r:id="rId4" w:type="even"/>
          <w:pgSz w:w="11906" w:h="16838"/>
          <w:pgMar w:top="1440" w:right="1588" w:bottom="1440" w:left="1588" w:header="851" w:footer="992" w:gutter="0"/>
          <w:cols w:space="425" w:num="1"/>
          <w:docGrid w:type="lines" w:linePitch="312" w:charSpace="0"/>
        </w:sectPr>
      </w:pPr>
      <w:r>
        <w:rPr>
          <w:rFonts w:hint="eastAsia" w:ascii="仿宋_GB2312" w:hAnsi="宋体" w:eastAsia="仿宋_GB2312"/>
          <w:color w:val="auto"/>
          <w:sz w:val="32"/>
          <w:szCs w:val="32"/>
          <w:lang w:val="en-US" w:eastAsia="zh-CN"/>
        </w:rPr>
        <w:t xml:space="preserve">                         </w:t>
      </w:r>
      <w:r>
        <w:rPr>
          <w:rFonts w:hint="eastAsia" w:ascii="仿宋_GB2312" w:hAnsi="宋体" w:eastAsia="仿宋_GB2312"/>
          <w:color w:val="auto"/>
          <w:sz w:val="32"/>
          <w:szCs w:val="32"/>
        </w:rPr>
        <w:t>202</w:t>
      </w:r>
      <w:r>
        <w:rPr>
          <w:rFonts w:hint="eastAsia" w:ascii="仿宋_GB2312" w:hAnsi="宋体" w:eastAsia="仿宋_GB2312"/>
          <w:color w:val="auto"/>
          <w:sz w:val="32"/>
          <w:szCs w:val="32"/>
          <w:lang w:val="en-US" w:eastAsia="zh-CN"/>
        </w:rPr>
        <w:t>2</w:t>
      </w:r>
      <w:r>
        <w:rPr>
          <w:rFonts w:hint="eastAsia" w:ascii="仿宋_GB2312" w:hAnsi="宋体" w:eastAsia="仿宋_GB2312"/>
          <w:color w:val="auto"/>
          <w:sz w:val="32"/>
          <w:szCs w:val="32"/>
        </w:rPr>
        <w:t>年</w:t>
      </w:r>
      <w:r>
        <w:rPr>
          <w:rFonts w:hint="eastAsia" w:ascii="仿宋_GB2312" w:hAnsi="宋体" w:eastAsia="仿宋_GB2312"/>
          <w:color w:val="auto"/>
          <w:sz w:val="32"/>
          <w:szCs w:val="32"/>
          <w:lang w:val="en-US" w:eastAsia="zh-CN"/>
        </w:rPr>
        <w:t>9</w:t>
      </w:r>
      <w:r>
        <w:rPr>
          <w:rFonts w:hint="eastAsia" w:ascii="仿宋_GB2312" w:hAnsi="宋体" w:eastAsia="仿宋_GB2312"/>
          <w:color w:val="auto"/>
          <w:sz w:val="32"/>
          <w:szCs w:val="32"/>
        </w:rPr>
        <w:t>月</w:t>
      </w:r>
      <w:r>
        <w:rPr>
          <w:rFonts w:hint="eastAsia" w:ascii="仿宋_GB2312" w:hAnsi="宋体" w:eastAsia="仿宋_GB2312"/>
          <w:color w:val="auto"/>
          <w:sz w:val="32"/>
          <w:szCs w:val="32"/>
          <w:lang w:val="en-US" w:eastAsia="zh-CN"/>
        </w:rPr>
        <w:t>2</w:t>
      </w:r>
      <w:r>
        <w:rPr>
          <w:rFonts w:hint="default" w:ascii="仿宋_GB2312" w:hAnsi="宋体" w:eastAsia="仿宋_GB2312"/>
          <w:color w:val="auto"/>
          <w:sz w:val="32"/>
          <w:szCs w:val="32"/>
          <w:lang w:val="en-US" w:eastAsia="zh-CN"/>
        </w:rPr>
        <w:t>2</w:t>
      </w:r>
      <w:r>
        <w:rPr>
          <w:rFonts w:hint="eastAsia" w:ascii="仿宋_GB2312" w:hAnsi="宋体" w:eastAsia="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0"/>
        <w:rPr>
          <w:rFonts w:hint="eastAsia" w:ascii="方正小标宋简体" w:hAnsi="华文中宋" w:eastAsia="方正小标宋简体"/>
          <w:bCs/>
          <w:color w:val="auto"/>
          <w:sz w:val="44"/>
          <w:szCs w:val="44"/>
          <w:lang w:eastAsia="zh-CN"/>
        </w:rPr>
      </w:pPr>
      <w:r>
        <w:rPr>
          <w:rFonts w:hint="eastAsia" w:ascii="方正小标宋简体" w:hAnsi="华文中宋" w:eastAsia="方正小标宋简体"/>
          <w:bCs/>
          <w:color w:val="auto"/>
          <w:sz w:val="44"/>
          <w:szCs w:val="44"/>
        </w:rPr>
        <w:t>中国（新乡）知识产权</w:t>
      </w:r>
      <w:r>
        <w:rPr>
          <w:rFonts w:hint="eastAsia" w:ascii="方正小标宋简体" w:hAnsi="华文中宋" w:eastAsia="方正小标宋简体"/>
          <w:bCs/>
          <w:color w:val="auto"/>
          <w:sz w:val="44"/>
          <w:szCs w:val="44"/>
          <w:lang w:eastAsia="zh-CN"/>
        </w:rPr>
        <w:t>保护中心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1"/>
        <w:rPr>
          <w:rFonts w:hint="default" w:ascii="黑体" w:hAnsi="Times New Roman" w:eastAsia="方正小标宋简体" w:cs="Times New Roman"/>
          <w:color w:val="auto"/>
          <w:sz w:val="32"/>
          <w:szCs w:val="32"/>
          <w:lang w:val="en-US" w:eastAsia="zh-CN"/>
        </w:rPr>
      </w:pPr>
      <w:r>
        <w:rPr>
          <w:rFonts w:hint="eastAsia" w:ascii="方正小标宋简体" w:hAnsi="宋体" w:eastAsia="方正小标宋简体"/>
          <w:color w:val="auto"/>
          <w:sz w:val="44"/>
          <w:szCs w:val="44"/>
          <w:lang w:val="en-US" w:eastAsia="zh-CN"/>
        </w:rPr>
        <w:t>申请主体和代理机构信用星级培育管理暂行办法</w:t>
      </w:r>
    </w:p>
    <w:p>
      <w:pPr>
        <w:keepNext w:val="0"/>
        <w:keepLines w:val="0"/>
        <w:pageBreakBefore w:val="0"/>
        <w:kinsoku/>
        <w:wordWrap/>
        <w:overflowPunct/>
        <w:topLinePunct w:val="0"/>
        <w:bidi w:val="0"/>
        <w:adjustRightInd/>
        <w:snapToGrid/>
        <w:spacing w:line="240" w:lineRule="auto"/>
        <w:ind w:firstLine="629" w:firstLineChars="196"/>
        <w:textAlignment w:val="auto"/>
        <w:rPr>
          <w:rFonts w:hint="eastAsia" w:ascii="楷体_GB2312" w:eastAsia="楷体_GB2312"/>
          <w:b/>
          <w:color w:val="auto"/>
          <w:sz w:val="32"/>
          <w:szCs w:val="32"/>
        </w:rPr>
      </w:pPr>
    </w:p>
    <w:p>
      <w:pPr>
        <w:keepNext w:val="0"/>
        <w:keepLines w:val="0"/>
        <w:pageBreakBefore w:val="0"/>
        <w:kinsoku/>
        <w:wordWrap/>
        <w:overflowPunct/>
        <w:topLinePunct w:val="0"/>
        <w:bidi w:val="0"/>
        <w:adjustRightInd/>
        <w:snapToGrid/>
        <w:spacing w:line="240" w:lineRule="auto"/>
        <w:ind w:firstLine="629" w:firstLineChars="196"/>
        <w:textAlignment w:val="auto"/>
        <w:rPr>
          <w:rFonts w:ascii="楷体" w:hAnsi="楷体" w:eastAsia="楷体" w:cs="仿宋_GB2312"/>
          <w:color w:val="auto"/>
          <w:kern w:val="0"/>
          <w:sz w:val="32"/>
          <w:szCs w:val="32"/>
        </w:rPr>
      </w:pPr>
      <w:r>
        <w:rPr>
          <w:rFonts w:hint="eastAsia" w:ascii="楷体_GB2312" w:eastAsia="楷体_GB2312"/>
          <w:b/>
          <w:color w:val="auto"/>
          <w:sz w:val="32"/>
          <w:szCs w:val="32"/>
        </w:rPr>
        <w:t>第一条</w:t>
      </w:r>
      <w:r>
        <w:rPr>
          <w:rFonts w:hint="eastAsia" w:ascii="仿宋_GB2312" w:eastAsia="仿宋_GB2312"/>
          <w:color w:val="auto"/>
          <w:sz w:val="32"/>
          <w:szCs w:val="32"/>
        </w:rPr>
        <w:t>　</w:t>
      </w:r>
      <w:r>
        <w:rPr>
          <w:rFonts w:hint="eastAsia" w:ascii="仿宋_GB2312" w:hAnsi="宋体" w:eastAsia="仿宋_GB2312"/>
          <w:color w:val="auto"/>
          <w:sz w:val="32"/>
          <w:szCs w:val="32"/>
          <w:lang w:val="en-US" w:eastAsia="zh-CN"/>
        </w:rPr>
        <w:t>为引导申请主体和代理机构逐步提升专利申请质量，确保专利预审工作高质量开展，</w:t>
      </w:r>
      <w:r>
        <w:rPr>
          <w:rFonts w:hint="eastAsia" w:ascii="仿宋_GB2312" w:hAnsi="Times New Roman" w:eastAsia="仿宋_GB2312" w:cs="Times New Roman"/>
          <w:color w:val="auto"/>
          <w:sz w:val="32"/>
          <w:szCs w:val="32"/>
        </w:rPr>
        <w:t>制定本办法。</w:t>
      </w:r>
    </w:p>
    <w:p>
      <w:pPr>
        <w:keepNext w:val="0"/>
        <w:keepLines w:val="0"/>
        <w:pageBreakBefore w:val="0"/>
        <w:kinsoku/>
        <w:wordWrap/>
        <w:overflowPunct/>
        <w:topLinePunct w:val="0"/>
        <w:bidi w:val="0"/>
        <w:adjustRightInd/>
        <w:snapToGrid/>
        <w:spacing w:line="240" w:lineRule="auto"/>
        <w:ind w:firstLine="629" w:firstLineChars="196"/>
        <w:textAlignment w:val="auto"/>
        <w:rPr>
          <w:rFonts w:hint="eastAsia" w:ascii="仿宋_GB2312" w:eastAsia="仿宋_GB2312"/>
          <w:color w:val="auto"/>
          <w:sz w:val="32"/>
          <w:szCs w:val="32"/>
          <w:lang w:eastAsia="zh-CN"/>
        </w:rPr>
      </w:pPr>
      <w:r>
        <w:rPr>
          <w:rFonts w:hint="eastAsia" w:ascii="楷体_GB2312" w:eastAsia="楷体_GB2312"/>
          <w:b/>
          <w:color w:val="auto"/>
          <w:sz w:val="32"/>
          <w:szCs w:val="32"/>
        </w:rPr>
        <w:t>第二条</w:t>
      </w:r>
      <w:r>
        <w:rPr>
          <w:rFonts w:hint="eastAsia" w:ascii="仿宋_GB2312" w:eastAsia="仿宋_GB2312"/>
          <w:color w:val="auto"/>
          <w:sz w:val="32"/>
          <w:szCs w:val="32"/>
        </w:rPr>
        <w:t>　</w:t>
      </w:r>
      <w:r>
        <w:rPr>
          <w:rFonts w:hint="eastAsia" w:ascii="仿宋_GB2312" w:eastAsia="仿宋_GB2312"/>
          <w:color w:val="auto"/>
          <w:sz w:val="32"/>
          <w:szCs w:val="32"/>
          <w:lang w:eastAsia="zh-CN"/>
        </w:rPr>
        <w:t>中国（新乡）知识产权保护中心（以下简称“保护中心”）专利预审信用星级分为五星、四星、三星、二星、一星五个层级，达不到一星信用星级的暂不纳入信用星级评定。</w:t>
      </w:r>
    </w:p>
    <w:p>
      <w:pPr>
        <w:keepNext w:val="0"/>
        <w:keepLines w:val="0"/>
        <w:pageBreakBefore w:val="0"/>
        <w:kinsoku/>
        <w:wordWrap/>
        <w:overflowPunct/>
        <w:topLinePunct w:val="0"/>
        <w:bidi w:val="0"/>
        <w:adjustRightInd/>
        <w:snapToGrid/>
        <w:spacing w:line="240" w:lineRule="auto"/>
        <w:ind w:firstLine="629" w:firstLineChars="196"/>
        <w:textAlignment w:val="auto"/>
        <w:rPr>
          <w:rFonts w:hint="eastAsia" w:ascii="仿宋_GB2312" w:eastAsia="仿宋_GB2312"/>
          <w:color w:val="auto"/>
          <w:sz w:val="32"/>
          <w:szCs w:val="32"/>
          <w:lang w:eastAsia="zh-CN"/>
        </w:rPr>
      </w:pPr>
      <w:r>
        <w:rPr>
          <w:rFonts w:hint="eastAsia" w:ascii="楷体_GB2312" w:eastAsia="楷体_GB2312"/>
          <w:b/>
          <w:color w:val="auto"/>
          <w:sz w:val="32"/>
          <w:szCs w:val="32"/>
        </w:rPr>
        <w:t>第</w:t>
      </w:r>
      <w:r>
        <w:rPr>
          <w:rFonts w:hint="eastAsia" w:ascii="楷体_GB2312" w:eastAsia="楷体_GB2312"/>
          <w:b/>
          <w:color w:val="auto"/>
          <w:sz w:val="32"/>
          <w:szCs w:val="32"/>
          <w:lang w:eastAsia="zh-CN"/>
        </w:rPr>
        <w:t>三</w:t>
      </w:r>
      <w:r>
        <w:rPr>
          <w:rFonts w:hint="eastAsia" w:ascii="楷体_GB2312" w:eastAsia="楷体_GB2312"/>
          <w:b/>
          <w:color w:val="auto"/>
          <w:sz w:val="32"/>
          <w:szCs w:val="32"/>
        </w:rPr>
        <w:t>条</w:t>
      </w:r>
      <w:r>
        <w:rPr>
          <w:rFonts w:hint="eastAsia" w:ascii="仿宋_GB2312" w:eastAsia="仿宋_GB2312"/>
          <w:color w:val="auto"/>
          <w:sz w:val="32"/>
          <w:szCs w:val="32"/>
        </w:rPr>
        <w:t>　</w:t>
      </w:r>
      <w:r>
        <w:rPr>
          <w:rFonts w:hint="eastAsia" w:ascii="仿宋_GB2312" w:eastAsia="仿宋_GB2312"/>
          <w:color w:val="auto"/>
          <w:sz w:val="32"/>
          <w:szCs w:val="32"/>
          <w:lang w:eastAsia="zh-CN"/>
        </w:rPr>
        <w:t>获评专利预审五星信用星级的条件：</w:t>
      </w:r>
    </w:p>
    <w:p>
      <w:pPr>
        <w:keepNext w:val="0"/>
        <w:keepLines w:val="0"/>
        <w:pageBreakBefore w:val="0"/>
        <w:kinsoku/>
        <w:wordWrap/>
        <w:overflowPunct/>
        <w:topLinePunct w:val="0"/>
        <w:bidi w:val="0"/>
        <w:adjustRightInd/>
        <w:snapToGrid/>
        <w:spacing w:line="240" w:lineRule="auto"/>
        <w:ind w:firstLine="627" w:firstLineChars="196"/>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一</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申请主体。近两年内向保护中心提交并受理的专利预审申请达到</w:t>
      </w:r>
      <w:r>
        <w:rPr>
          <w:rFonts w:hint="eastAsia" w:ascii="仿宋_GB2312" w:hAnsi="Times New Roman" w:eastAsia="仿宋_GB2312" w:cs="Times New Roman"/>
          <w:color w:val="auto"/>
          <w:sz w:val="32"/>
          <w:szCs w:val="32"/>
          <w:lang w:val="en-US" w:eastAsia="zh-CN"/>
        </w:rPr>
        <w:t>50件以上，且整体预审合格率85%以上；或者提交并受理的发明专利预审</w:t>
      </w:r>
      <w:r>
        <w:rPr>
          <w:rFonts w:hint="eastAsia" w:ascii="仿宋_GB2312" w:hAnsi="Times New Roman" w:eastAsia="仿宋_GB2312" w:cs="Times New Roman"/>
          <w:color w:val="auto"/>
          <w:sz w:val="32"/>
          <w:szCs w:val="32"/>
          <w:lang w:eastAsia="zh-CN"/>
        </w:rPr>
        <w:t>申请</w:t>
      </w:r>
      <w:r>
        <w:rPr>
          <w:rFonts w:hint="eastAsia" w:ascii="仿宋_GB2312" w:hAnsi="Times New Roman" w:eastAsia="仿宋_GB2312" w:cs="Times New Roman"/>
          <w:color w:val="auto"/>
          <w:sz w:val="32"/>
          <w:szCs w:val="32"/>
          <w:lang w:val="en-US" w:eastAsia="zh-CN"/>
        </w:rPr>
        <w:t>达到16件以上，且预审合格率75%以上。</w:t>
      </w:r>
    </w:p>
    <w:p>
      <w:pPr>
        <w:keepNext w:val="0"/>
        <w:keepLines w:val="0"/>
        <w:pageBreakBefore w:val="0"/>
        <w:kinsoku/>
        <w:wordWrap/>
        <w:overflowPunct/>
        <w:topLinePunct w:val="0"/>
        <w:bidi w:val="0"/>
        <w:adjustRightInd/>
        <w:snapToGrid/>
        <w:spacing w:line="240" w:lineRule="auto"/>
        <w:ind w:firstLine="627" w:firstLineChars="196"/>
        <w:textAlignment w:val="auto"/>
        <w:rPr>
          <w:rFonts w:hint="default" w:ascii="仿宋_GB2312" w:hAnsi="Times New Roman" w:eastAsia="仿宋_GB2312" w:cs="Times New Roman"/>
          <w:color w:val="auto"/>
          <w:sz w:val="32"/>
          <w:szCs w:val="32"/>
          <w:lang w:val="en" w:eastAsia="zh-CN"/>
        </w:rPr>
      </w:pPr>
      <w:r>
        <w:rPr>
          <w:rFonts w:hint="eastAsia" w:ascii="仿宋_GB2312" w:hAnsi="Times New Roman" w:eastAsia="仿宋_GB2312" w:cs="Times New Roman"/>
          <w:color w:val="auto"/>
          <w:sz w:val="32"/>
          <w:szCs w:val="32"/>
          <w:lang w:eastAsia="zh-CN"/>
        </w:rPr>
        <w:t>（二）代理机构。近两年内向保护中心提交并受理的专利预审申请达到</w:t>
      </w:r>
      <w:r>
        <w:rPr>
          <w:rFonts w:hint="eastAsia" w:ascii="仿宋_GB2312" w:hAnsi="Times New Roman" w:eastAsia="仿宋_GB2312" w:cs="Times New Roman"/>
          <w:color w:val="auto"/>
          <w:sz w:val="32"/>
          <w:szCs w:val="32"/>
          <w:lang w:val="en-US" w:eastAsia="zh-CN"/>
        </w:rPr>
        <w:t>200件以上，且整体预审合格率85%以上；或者提交并受理的发明专利预审</w:t>
      </w:r>
      <w:r>
        <w:rPr>
          <w:rFonts w:hint="eastAsia" w:ascii="仿宋_GB2312" w:hAnsi="Times New Roman" w:eastAsia="仿宋_GB2312" w:cs="Times New Roman"/>
          <w:color w:val="auto"/>
          <w:sz w:val="32"/>
          <w:szCs w:val="32"/>
          <w:lang w:eastAsia="zh-CN"/>
        </w:rPr>
        <w:t>申请达到</w:t>
      </w:r>
      <w:r>
        <w:rPr>
          <w:rFonts w:hint="default" w:ascii="仿宋_GB2312" w:hAnsi="Times New Roman" w:eastAsia="仿宋_GB2312" w:cs="Times New Roman"/>
          <w:color w:val="auto"/>
          <w:sz w:val="32"/>
          <w:szCs w:val="32"/>
          <w:lang w:val="en-US" w:eastAsia="zh-CN"/>
        </w:rPr>
        <w:t>5</w:t>
      </w:r>
      <w:r>
        <w:rPr>
          <w:rFonts w:hint="eastAsia" w:ascii="仿宋_GB2312" w:hAnsi="Times New Roman" w:eastAsia="仿宋_GB2312" w:cs="Times New Roman"/>
          <w:color w:val="auto"/>
          <w:sz w:val="32"/>
          <w:szCs w:val="32"/>
          <w:lang w:val="en-US" w:eastAsia="zh-CN"/>
        </w:rPr>
        <w:t>0件以上，且预审合格率75%以上</w:t>
      </w:r>
      <w:r>
        <w:rPr>
          <w:rFonts w:hint="eastAsia" w:ascii="仿宋_GB2312" w:hAnsi="Times New Roman" w:eastAsia="仿宋_GB2312" w:cs="Times New Roman"/>
          <w:color w:val="auto"/>
          <w:sz w:val="32"/>
          <w:szCs w:val="32"/>
          <w:lang w:eastAsia="zh-CN"/>
        </w:rPr>
        <w:t>。</w:t>
      </w:r>
    </w:p>
    <w:p>
      <w:pPr>
        <w:keepNext w:val="0"/>
        <w:keepLines w:val="0"/>
        <w:pageBreakBefore w:val="0"/>
        <w:kinsoku/>
        <w:wordWrap/>
        <w:overflowPunct/>
        <w:topLinePunct w:val="0"/>
        <w:bidi w:val="0"/>
        <w:adjustRightInd/>
        <w:snapToGrid/>
        <w:spacing w:line="240" w:lineRule="auto"/>
        <w:ind w:firstLine="629" w:firstLineChars="196"/>
        <w:textAlignment w:val="auto"/>
        <w:rPr>
          <w:rFonts w:hint="eastAsia" w:ascii="仿宋_GB2312" w:eastAsia="仿宋_GB2312"/>
          <w:color w:val="auto"/>
          <w:sz w:val="32"/>
          <w:szCs w:val="32"/>
          <w:lang w:eastAsia="zh-CN"/>
        </w:rPr>
      </w:pPr>
      <w:r>
        <w:rPr>
          <w:rFonts w:hint="eastAsia" w:ascii="楷体_GB2312" w:eastAsia="楷体_GB2312"/>
          <w:b/>
          <w:color w:val="auto"/>
          <w:sz w:val="32"/>
          <w:szCs w:val="32"/>
        </w:rPr>
        <w:t>第</w:t>
      </w:r>
      <w:r>
        <w:rPr>
          <w:rFonts w:hint="eastAsia" w:ascii="楷体_GB2312" w:eastAsia="楷体_GB2312"/>
          <w:b/>
          <w:color w:val="auto"/>
          <w:sz w:val="32"/>
          <w:szCs w:val="32"/>
          <w:lang w:eastAsia="zh-CN"/>
        </w:rPr>
        <w:t>四</w:t>
      </w:r>
      <w:r>
        <w:rPr>
          <w:rFonts w:hint="eastAsia" w:ascii="楷体_GB2312" w:eastAsia="楷体_GB2312"/>
          <w:b/>
          <w:color w:val="auto"/>
          <w:sz w:val="32"/>
          <w:szCs w:val="32"/>
        </w:rPr>
        <w:t>条</w:t>
      </w:r>
      <w:r>
        <w:rPr>
          <w:rFonts w:hint="eastAsia" w:ascii="仿宋_GB2312" w:eastAsia="仿宋_GB2312"/>
          <w:color w:val="auto"/>
          <w:sz w:val="32"/>
          <w:szCs w:val="32"/>
        </w:rPr>
        <w:t>　</w:t>
      </w:r>
      <w:r>
        <w:rPr>
          <w:rFonts w:hint="eastAsia" w:ascii="仿宋_GB2312" w:eastAsia="仿宋_GB2312"/>
          <w:color w:val="auto"/>
          <w:sz w:val="32"/>
          <w:szCs w:val="32"/>
          <w:lang w:eastAsia="zh-CN"/>
        </w:rPr>
        <w:t>获评专利预审四星信用星级的条件：</w:t>
      </w:r>
    </w:p>
    <w:p>
      <w:pPr>
        <w:keepNext w:val="0"/>
        <w:keepLines w:val="0"/>
        <w:pageBreakBefore w:val="0"/>
        <w:kinsoku/>
        <w:wordWrap/>
        <w:overflowPunct/>
        <w:topLinePunct w:val="0"/>
        <w:bidi w:val="0"/>
        <w:adjustRightInd/>
        <w:snapToGrid/>
        <w:spacing w:line="240" w:lineRule="auto"/>
        <w:ind w:firstLine="627" w:firstLineChars="196"/>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一</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申请主体。近两年内向保护中心提交并受理的专利预审申请达到</w:t>
      </w:r>
      <w:r>
        <w:rPr>
          <w:rFonts w:hint="eastAsia" w:ascii="仿宋_GB2312" w:hAnsi="Times New Roman" w:eastAsia="仿宋_GB2312" w:cs="Times New Roman"/>
          <w:color w:val="auto"/>
          <w:sz w:val="32"/>
          <w:szCs w:val="32"/>
          <w:lang w:val="en-US" w:eastAsia="zh-CN"/>
        </w:rPr>
        <w:t>35件以上，且整体预审合格率80%以上；或者提交并受理的发明专利预审</w:t>
      </w:r>
      <w:r>
        <w:rPr>
          <w:rFonts w:hint="eastAsia" w:ascii="仿宋_GB2312" w:hAnsi="Times New Roman" w:eastAsia="仿宋_GB2312" w:cs="Times New Roman"/>
          <w:color w:val="auto"/>
          <w:sz w:val="32"/>
          <w:szCs w:val="32"/>
          <w:lang w:eastAsia="zh-CN"/>
        </w:rPr>
        <w:t>申请</w:t>
      </w:r>
      <w:r>
        <w:rPr>
          <w:rFonts w:hint="eastAsia" w:ascii="仿宋_GB2312" w:hAnsi="Times New Roman" w:eastAsia="仿宋_GB2312" w:cs="Times New Roman"/>
          <w:color w:val="auto"/>
          <w:sz w:val="32"/>
          <w:szCs w:val="32"/>
          <w:lang w:val="en-US" w:eastAsia="zh-CN"/>
        </w:rPr>
        <w:t>达到12件以上，且预审合格率70%以上。</w:t>
      </w:r>
    </w:p>
    <w:p>
      <w:pPr>
        <w:keepNext w:val="0"/>
        <w:keepLines w:val="0"/>
        <w:pageBreakBefore w:val="0"/>
        <w:kinsoku/>
        <w:wordWrap/>
        <w:overflowPunct/>
        <w:topLinePunct w:val="0"/>
        <w:bidi w:val="0"/>
        <w:adjustRightInd/>
        <w:snapToGrid/>
        <w:spacing w:line="240" w:lineRule="auto"/>
        <w:ind w:firstLine="627" w:firstLineChars="196"/>
        <w:textAlignment w:val="auto"/>
        <w:rPr>
          <w:rFonts w:hint="default" w:ascii="仿宋_GB2312" w:hAnsi="Times New Roman" w:eastAsia="仿宋_GB2312" w:cs="Times New Roman"/>
          <w:color w:val="auto"/>
          <w:sz w:val="32"/>
          <w:szCs w:val="32"/>
          <w:lang w:val="en" w:eastAsia="zh-CN"/>
        </w:rPr>
      </w:pPr>
      <w:r>
        <w:rPr>
          <w:rFonts w:hint="eastAsia" w:ascii="仿宋_GB2312" w:hAnsi="Times New Roman" w:eastAsia="仿宋_GB2312" w:cs="Times New Roman"/>
          <w:color w:val="auto"/>
          <w:sz w:val="32"/>
          <w:szCs w:val="32"/>
          <w:lang w:eastAsia="zh-CN"/>
        </w:rPr>
        <w:t>（二）代理机构。近两年内向保护中心提交并受理的专利预审申请达到</w:t>
      </w:r>
      <w:r>
        <w:rPr>
          <w:rFonts w:hint="eastAsia" w:ascii="仿宋_GB2312" w:hAnsi="Times New Roman" w:eastAsia="仿宋_GB2312" w:cs="Times New Roman"/>
          <w:color w:val="auto"/>
          <w:sz w:val="32"/>
          <w:szCs w:val="32"/>
          <w:lang w:val="en-US" w:eastAsia="zh-CN"/>
        </w:rPr>
        <w:t>100件以上，且整体预审合格率80%以上；或者提交并受理的发明专利预审</w:t>
      </w:r>
      <w:r>
        <w:rPr>
          <w:rFonts w:hint="eastAsia" w:ascii="仿宋_GB2312" w:hAnsi="Times New Roman" w:eastAsia="仿宋_GB2312" w:cs="Times New Roman"/>
          <w:color w:val="auto"/>
          <w:sz w:val="32"/>
          <w:szCs w:val="32"/>
          <w:lang w:eastAsia="zh-CN"/>
        </w:rPr>
        <w:t>申请</w:t>
      </w:r>
      <w:r>
        <w:rPr>
          <w:rFonts w:hint="eastAsia" w:ascii="仿宋_GB2312" w:hAnsi="Times New Roman" w:eastAsia="仿宋_GB2312" w:cs="Times New Roman"/>
          <w:color w:val="auto"/>
          <w:sz w:val="32"/>
          <w:szCs w:val="32"/>
          <w:lang w:val="en-US" w:eastAsia="zh-CN"/>
        </w:rPr>
        <w:t>达到30件以上，且预审合格率70%以上</w:t>
      </w:r>
      <w:r>
        <w:rPr>
          <w:rFonts w:hint="eastAsia" w:ascii="仿宋_GB2312" w:hAnsi="Times New Roman" w:eastAsia="仿宋_GB2312" w:cs="Times New Roman"/>
          <w:color w:val="auto"/>
          <w:sz w:val="32"/>
          <w:szCs w:val="32"/>
          <w:lang w:eastAsia="zh-CN"/>
        </w:rPr>
        <w:t>。</w:t>
      </w:r>
    </w:p>
    <w:p>
      <w:pPr>
        <w:keepNext w:val="0"/>
        <w:keepLines w:val="0"/>
        <w:pageBreakBefore w:val="0"/>
        <w:kinsoku/>
        <w:wordWrap/>
        <w:overflowPunct/>
        <w:topLinePunct w:val="0"/>
        <w:bidi w:val="0"/>
        <w:adjustRightInd/>
        <w:snapToGrid/>
        <w:spacing w:line="240" w:lineRule="auto"/>
        <w:ind w:firstLine="629" w:firstLineChars="196"/>
        <w:textAlignment w:val="auto"/>
        <w:rPr>
          <w:rFonts w:hint="eastAsia" w:ascii="仿宋_GB2312" w:eastAsia="仿宋_GB2312"/>
          <w:color w:val="auto"/>
          <w:sz w:val="32"/>
          <w:szCs w:val="32"/>
          <w:lang w:eastAsia="zh-CN"/>
        </w:rPr>
      </w:pPr>
      <w:r>
        <w:rPr>
          <w:rFonts w:hint="eastAsia" w:ascii="楷体_GB2312" w:eastAsia="楷体_GB2312"/>
          <w:b/>
          <w:color w:val="auto"/>
          <w:sz w:val="32"/>
          <w:szCs w:val="32"/>
        </w:rPr>
        <w:t>第</w:t>
      </w:r>
      <w:r>
        <w:rPr>
          <w:rFonts w:hint="eastAsia" w:ascii="楷体_GB2312" w:eastAsia="楷体_GB2312"/>
          <w:b/>
          <w:color w:val="auto"/>
          <w:sz w:val="32"/>
          <w:szCs w:val="32"/>
          <w:lang w:eastAsia="zh-CN"/>
        </w:rPr>
        <w:t>五</w:t>
      </w:r>
      <w:r>
        <w:rPr>
          <w:rFonts w:hint="eastAsia" w:ascii="楷体_GB2312" w:eastAsia="楷体_GB2312"/>
          <w:b/>
          <w:color w:val="auto"/>
          <w:sz w:val="32"/>
          <w:szCs w:val="32"/>
        </w:rPr>
        <w:t>条</w:t>
      </w:r>
      <w:r>
        <w:rPr>
          <w:rFonts w:hint="eastAsia" w:ascii="仿宋_GB2312" w:eastAsia="仿宋_GB2312"/>
          <w:color w:val="auto"/>
          <w:sz w:val="32"/>
          <w:szCs w:val="32"/>
        </w:rPr>
        <w:t>　</w:t>
      </w:r>
      <w:r>
        <w:rPr>
          <w:rFonts w:hint="eastAsia" w:ascii="仿宋_GB2312" w:eastAsia="仿宋_GB2312"/>
          <w:color w:val="auto"/>
          <w:sz w:val="32"/>
          <w:szCs w:val="32"/>
          <w:lang w:eastAsia="zh-CN"/>
        </w:rPr>
        <w:t>获评专利预审三星信用星级的条件：</w:t>
      </w:r>
    </w:p>
    <w:p>
      <w:pPr>
        <w:keepNext w:val="0"/>
        <w:keepLines w:val="0"/>
        <w:pageBreakBefore w:val="0"/>
        <w:kinsoku/>
        <w:wordWrap/>
        <w:overflowPunct/>
        <w:topLinePunct w:val="0"/>
        <w:bidi w:val="0"/>
        <w:adjustRightInd/>
        <w:snapToGrid/>
        <w:spacing w:line="240" w:lineRule="auto"/>
        <w:ind w:firstLine="627" w:firstLineChars="196"/>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一</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申请主体。近两年内向保护中心提交并受理的专利预审申请达到</w:t>
      </w:r>
      <w:r>
        <w:rPr>
          <w:rFonts w:hint="eastAsia" w:ascii="仿宋_GB2312" w:hAnsi="Times New Roman" w:eastAsia="仿宋_GB2312" w:cs="Times New Roman"/>
          <w:color w:val="auto"/>
          <w:sz w:val="32"/>
          <w:szCs w:val="32"/>
          <w:lang w:val="en-US" w:eastAsia="zh-CN"/>
        </w:rPr>
        <w:t>20件以上，且整体合格率75%以上；或者提交并受理的发明专利预审</w:t>
      </w:r>
      <w:r>
        <w:rPr>
          <w:rFonts w:hint="eastAsia" w:ascii="仿宋_GB2312" w:hAnsi="Times New Roman" w:eastAsia="仿宋_GB2312" w:cs="Times New Roman"/>
          <w:color w:val="auto"/>
          <w:sz w:val="32"/>
          <w:szCs w:val="32"/>
          <w:lang w:eastAsia="zh-CN"/>
        </w:rPr>
        <w:t>申请</w:t>
      </w:r>
      <w:r>
        <w:rPr>
          <w:rFonts w:hint="eastAsia" w:ascii="仿宋_GB2312" w:hAnsi="Times New Roman" w:eastAsia="仿宋_GB2312" w:cs="Times New Roman"/>
          <w:color w:val="auto"/>
          <w:sz w:val="32"/>
          <w:szCs w:val="32"/>
          <w:lang w:val="en-US" w:eastAsia="zh-CN"/>
        </w:rPr>
        <w:t>达到8件以上，且预审合格率不低于65%。</w:t>
      </w:r>
    </w:p>
    <w:p>
      <w:pPr>
        <w:keepNext w:val="0"/>
        <w:keepLines w:val="0"/>
        <w:pageBreakBefore w:val="0"/>
        <w:kinsoku/>
        <w:wordWrap/>
        <w:overflowPunct/>
        <w:topLinePunct w:val="0"/>
        <w:bidi w:val="0"/>
        <w:adjustRightInd/>
        <w:snapToGrid/>
        <w:spacing w:line="240" w:lineRule="auto"/>
        <w:ind w:firstLine="627" w:firstLineChars="196"/>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eastAsia="zh-CN"/>
        </w:rPr>
        <w:t>（二）代理机构。近两年内向保护中心提交并受理的专利预审申请达到</w:t>
      </w:r>
      <w:r>
        <w:rPr>
          <w:rFonts w:hint="default" w:ascii="仿宋_GB2312" w:hAnsi="Times New Roman" w:eastAsia="仿宋_GB2312" w:cs="Times New Roman"/>
          <w:color w:val="auto"/>
          <w:sz w:val="32"/>
          <w:szCs w:val="32"/>
          <w:lang w:val="en-US" w:eastAsia="zh-CN"/>
        </w:rPr>
        <w:t>6</w:t>
      </w:r>
      <w:r>
        <w:rPr>
          <w:rFonts w:hint="eastAsia" w:ascii="仿宋_GB2312" w:hAnsi="Times New Roman" w:eastAsia="仿宋_GB2312" w:cs="Times New Roman"/>
          <w:color w:val="auto"/>
          <w:sz w:val="32"/>
          <w:szCs w:val="32"/>
          <w:lang w:val="en-US" w:eastAsia="zh-CN"/>
        </w:rPr>
        <w:t>0件以上，且整体合格率75%以上；或者提交并受理的发明专利预审</w:t>
      </w:r>
      <w:r>
        <w:rPr>
          <w:rFonts w:hint="eastAsia" w:ascii="仿宋_GB2312" w:hAnsi="Times New Roman" w:eastAsia="仿宋_GB2312" w:cs="Times New Roman"/>
          <w:color w:val="auto"/>
          <w:sz w:val="32"/>
          <w:szCs w:val="32"/>
          <w:lang w:eastAsia="zh-CN"/>
        </w:rPr>
        <w:t>申请</w:t>
      </w:r>
      <w:r>
        <w:rPr>
          <w:rFonts w:hint="eastAsia" w:ascii="仿宋_GB2312" w:hAnsi="Times New Roman" w:eastAsia="仿宋_GB2312" w:cs="Times New Roman"/>
          <w:color w:val="auto"/>
          <w:sz w:val="32"/>
          <w:szCs w:val="32"/>
          <w:lang w:val="en-US" w:eastAsia="zh-CN"/>
        </w:rPr>
        <w:t>达到20件以上，且预审合格率不低于65%</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color w:val="auto"/>
          <w:sz w:val="32"/>
          <w:szCs w:val="32"/>
          <w:lang w:val="en-US" w:eastAsia="zh-CN"/>
        </w:rPr>
        <w:t xml:space="preserve">  </w:t>
      </w:r>
    </w:p>
    <w:p>
      <w:pPr>
        <w:keepNext w:val="0"/>
        <w:keepLines w:val="0"/>
        <w:pageBreakBefore w:val="0"/>
        <w:kinsoku/>
        <w:wordWrap/>
        <w:overflowPunct/>
        <w:topLinePunct w:val="0"/>
        <w:bidi w:val="0"/>
        <w:adjustRightInd/>
        <w:snapToGrid/>
        <w:spacing w:line="240" w:lineRule="auto"/>
        <w:ind w:firstLine="629" w:firstLineChars="196"/>
        <w:textAlignment w:val="auto"/>
        <w:rPr>
          <w:rFonts w:hint="eastAsia" w:ascii="仿宋_GB2312" w:eastAsia="仿宋_GB2312"/>
          <w:color w:val="auto"/>
          <w:sz w:val="32"/>
          <w:szCs w:val="32"/>
          <w:lang w:eastAsia="zh-CN"/>
        </w:rPr>
      </w:pPr>
      <w:r>
        <w:rPr>
          <w:rFonts w:hint="eastAsia" w:ascii="楷体_GB2312" w:eastAsia="楷体_GB2312"/>
          <w:b/>
          <w:color w:val="auto"/>
          <w:sz w:val="32"/>
          <w:szCs w:val="32"/>
        </w:rPr>
        <w:t>第</w:t>
      </w:r>
      <w:r>
        <w:rPr>
          <w:rFonts w:hint="eastAsia" w:ascii="楷体_GB2312" w:eastAsia="楷体_GB2312"/>
          <w:b/>
          <w:color w:val="auto"/>
          <w:sz w:val="32"/>
          <w:szCs w:val="32"/>
          <w:lang w:eastAsia="zh-CN"/>
        </w:rPr>
        <w:t>六</w:t>
      </w:r>
      <w:r>
        <w:rPr>
          <w:rFonts w:hint="eastAsia" w:ascii="楷体_GB2312" w:eastAsia="楷体_GB2312"/>
          <w:b/>
          <w:color w:val="auto"/>
          <w:sz w:val="32"/>
          <w:szCs w:val="32"/>
        </w:rPr>
        <w:t>条</w:t>
      </w:r>
      <w:r>
        <w:rPr>
          <w:rFonts w:hint="eastAsia" w:ascii="仿宋_GB2312" w:eastAsia="仿宋_GB2312"/>
          <w:color w:val="auto"/>
          <w:sz w:val="32"/>
          <w:szCs w:val="32"/>
        </w:rPr>
        <w:t>　</w:t>
      </w:r>
      <w:r>
        <w:rPr>
          <w:rFonts w:hint="eastAsia" w:ascii="仿宋_GB2312" w:eastAsia="仿宋_GB2312"/>
          <w:color w:val="auto"/>
          <w:sz w:val="32"/>
          <w:szCs w:val="32"/>
          <w:lang w:eastAsia="zh-CN"/>
        </w:rPr>
        <w:t>获评专利预审二星信用星级的条件：</w:t>
      </w:r>
    </w:p>
    <w:p>
      <w:pPr>
        <w:keepNext w:val="0"/>
        <w:keepLines w:val="0"/>
        <w:pageBreakBefore w:val="0"/>
        <w:kinsoku/>
        <w:wordWrap/>
        <w:overflowPunct/>
        <w:topLinePunct w:val="0"/>
        <w:bidi w:val="0"/>
        <w:adjustRightInd/>
        <w:snapToGrid/>
        <w:spacing w:line="240" w:lineRule="auto"/>
        <w:ind w:firstLine="627" w:firstLineChars="196"/>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一</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申请主体。近两年内向保护中心提交并受理的专利预审申请达到</w:t>
      </w:r>
      <w:r>
        <w:rPr>
          <w:rFonts w:hint="eastAsia" w:ascii="仿宋_GB2312" w:hAnsi="Times New Roman" w:eastAsia="仿宋_GB2312" w:cs="Times New Roman"/>
          <w:color w:val="auto"/>
          <w:sz w:val="32"/>
          <w:szCs w:val="32"/>
          <w:lang w:val="en-US" w:eastAsia="zh-CN"/>
        </w:rPr>
        <w:t>10件以上，且整体预审合格率70%以上；或者提交并受理的发明专利预审</w:t>
      </w:r>
      <w:r>
        <w:rPr>
          <w:rFonts w:hint="eastAsia" w:ascii="仿宋_GB2312" w:hAnsi="Times New Roman" w:eastAsia="仿宋_GB2312" w:cs="Times New Roman"/>
          <w:color w:val="auto"/>
          <w:sz w:val="32"/>
          <w:szCs w:val="32"/>
          <w:lang w:eastAsia="zh-CN"/>
        </w:rPr>
        <w:t>申请</w:t>
      </w:r>
      <w:r>
        <w:rPr>
          <w:rFonts w:hint="eastAsia" w:ascii="仿宋_GB2312" w:hAnsi="Times New Roman" w:eastAsia="仿宋_GB2312" w:cs="Times New Roman"/>
          <w:color w:val="auto"/>
          <w:sz w:val="32"/>
          <w:szCs w:val="32"/>
          <w:lang w:val="en-US" w:eastAsia="zh-CN"/>
        </w:rPr>
        <w:t>达到5件以上，且预审合格率不低于60%。</w:t>
      </w:r>
    </w:p>
    <w:p>
      <w:pPr>
        <w:keepNext w:val="0"/>
        <w:keepLines w:val="0"/>
        <w:pageBreakBefore w:val="0"/>
        <w:kinsoku/>
        <w:wordWrap/>
        <w:overflowPunct/>
        <w:topLinePunct w:val="0"/>
        <w:bidi w:val="0"/>
        <w:adjustRightInd/>
        <w:snapToGrid/>
        <w:spacing w:line="240" w:lineRule="auto"/>
        <w:ind w:firstLine="627" w:firstLineChars="196"/>
        <w:textAlignment w:val="auto"/>
        <w:rPr>
          <w:rFonts w:hint="default" w:ascii="仿宋_GB2312" w:hAnsi="Times New Roman" w:eastAsia="仿宋_GB2312" w:cs="Times New Roman"/>
          <w:color w:val="auto"/>
          <w:sz w:val="32"/>
          <w:szCs w:val="32"/>
          <w:lang w:val="en" w:eastAsia="zh-CN"/>
        </w:rPr>
      </w:pPr>
      <w:r>
        <w:rPr>
          <w:rFonts w:hint="eastAsia" w:ascii="仿宋_GB2312" w:hAnsi="Times New Roman" w:eastAsia="仿宋_GB2312" w:cs="Times New Roman"/>
          <w:color w:val="auto"/>
          <w:sz w:val="32"/>
          <w:szCs w:val="32"/>
          <w:lang w:eastAsia="zh-CN"/>
        </w:rPr>
        <w:t>（二）代理机构。近两年内向保护中心提交并受理的专利预审申请达到</w:t>
      </w:r>
      <w:r>
        <w:rPr>
          <w:rFonts w:hint="default"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lang w:val="en-US" w:eastAsia="zh-CN"/>
        </w:rPr>
        <w:t>0件以上，且整体预审合格率70%以上；或者提交并受理的发明专利预审</w:t>
      </w:r>
      <w:r>
        <w:rPr>
          <w:rFonts w:hint="eastAsia" w:ascii="仿宋_GB2312" w:hAnsi="Times New Roman" w:eastAsia="仿宋_GB2312" w:cs="Times New Roman"/>
          <w:color w:val="auto"/>
          <w:sz w:val="32"/>
          <w:szCs w:val="32"/>
          <w:lang w:eastAsia="zh-CN"/>
        </w:rPr>
        <w:t>申请</w:t>
      </w:r>
      <w:r>
        <w:rPr>
          <w:rFonts w:hint="eastAsia" w:ascii="仿宋_GB2312" w:hAnsi="Times New Roman" w:eastAsia="仿宋_GB2312" w:cs="Times New Roman"/>
          <w:color w:val="auto"/>
          <w:sz w:val="32"/>
          <w:szCs w:val="32"/>
          <w:lang w:val="en-US" w:eastAsia="zh-CN"/>
        </w:rPr>
        <w:t>达到10件以上，且预审合格率不低于60%</w:t>
      </w:r>
      <w:r>
        <w:rPr>
          <w:rFonts w:hint="eastAsia" w:ascii="仿宋_GB2312" w:hAnsi="Times New Roman" w:eastAsia="仿宋_GB2312" w:cs="Times New Roman"/>
          <w:color w:val="auto"/>
          <w:sz w:val="32"/>
          <w:szCs w:val="32"/>
          <w:lang w:eastAsia="zh-CN"/>
        </w:rPr>
        <w:t>。</w:t>
      </w:r>
    </w:p>
    <w:p>
      <w:pPr>
        <w:keepNext w:val="0"/>
        <w:keepLines w:val="0"/>
        <w:pageBreakBefore w:val="0"/>
        <w:kinsoku/>
        <w:wordWrap/>
        <w:overflowPunct/>
        <w:topLinePunct w:val="0"/>
        <w:bidi w:val="0"/>
        <w:adjustRightInd/>
        <w:snapToGrid/>
        <w:spacing w:line="240" w:lineRule="auto"/>
        <w:ind w:firstLine="629" w:firstLineChars="196"/>
        <w:textAlignment w:val="auto"/>
        <w:rPr>
          <w:rFonts w:hint="eastAsia" w:ascii="仿宋_GB2312" w:eastAsia="仿宋_GB2312"/>
          <w:color w:val="auto"/>
          <w:sz w:val="32"/>
          <w:szCs w:val="32"/>
          <w:lang w:eastAsia="zh-CN"/>
        </w:rPr>
      </w:pPr>
      <w:r>
        <w:rPr>
          <w:rFonts w:hint="eastAsia" w:ascii="楷体_GB2312" w:eastAsia="楷体_GB2312"/>
          <w:b/>
          <w:color w:val="auto"/>
          <w:sz w:val="32"/>
          <w:szCs w:val="32"/>
        </w:rPr>
        <w:t>第</w:t>
      </w:r>
      <w:r>
        <w:rPr>
          <w:rFonts w:hint="eastAsia" w:ascii="楷体_GB2312" w:eastAsia="楷体_GB2312"/>
          <w:b/>
          <w:color w:val="auto"/>
          <w:sz w:val="32"/>
          <w:szCs w:val="32"/>
          <w:lang w:eastAsia="zh-CN"/>
        </w:rPr>
        <w:t>七</w:t>
      </w:r>
      <w:r>
        <w:rPr>
          <w:rFonts w:hint="eastAsia" w:ascii="楷体_GB2312" w:eastAsia="楷体_GB2312"/>
          <w:b/>
          <w:color w:val="auto"/>
          <w:sz w:val="32"/>
          <w:szCs w:val="32"/>
        </w:rPr>
        <w:t>条</w:t>
      </w:r>
      <w:r>
        <w:rPr>
          <w:rFonts w:hint="eastAsia" w:ascii="仿宋_GB2312" w:eastAsia="仿宋_GB2312"/>
          <w:color w:val="auto"/>
          <w:sz w:val="32"/>
          <w:szCs w:val="32"/>
        </w:rPr>
        <w:t>　</w:t>
      </w:r>
      <w:r>
        <w:rPr>
          <w:rFonts w:hint="eastAsia" w:ascii="仿宋_GB2312" w:eastAsia="仿宋_GB2312"/>
          <w:color w:val="auto"/>
          <w:sz w:val="32"/>
          <w:szCs w:val="32"/>
          <w:lang w:eastAsia="zh-CN"/>
        </w:rPr>
        <w:t>获评专利预审一星信用星级的条件：</w:t>
      </w:r>
    </w:p>
    <w:p>
      <w:pPr>
        <w:keepNext w:val="0"/>
        <w:keepLines w:val="0"/>
        <w:pageBreakBefore w:val="0"/>
        <w:kinsoku/>
        <w:wordWrap/>
        <w:overflowPunct/>
        <w:topLinePunct w:val="0"/>
        <w:bidi w:val="0"/>
        <w:adjustRightInd/>
        <w:snapToGrid/>
        <w:spacing w:line="240" w:lineRule="auto"/>
        <w:ind w:firstLine="627" w:firstLineChars="196"/>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一</w:t>
      </w:r>
      <w:r>
        <w:rPr>
          <w:rFonts w:hint="eastAsia" w:ascii="仿宋_GB2312" w:hAnsi="Times New Roman" w:eastAsia="仿宋_GB2312" w:cs="Times New Roman"/>
          <w:color w:val="auto"/>
          <w:sz w:val="32"/>
          <w:szCs w:val="32"/>
        </w:rPr>
        <w:t>）</w:t>
      </w:r>
      <w:r>
        <w:rPr>
          <w:rFonts w:hint="eastAsia" w:ascii="仿宋_GB2312" w:hAnsi="Times New Roman" w:eastAsia="仿宋_GB2312" w:cs="Times New Roman"/>
          <w:color w:val="auto"/>
          <w:sz w:val="32"/>
          <w:szCs w:val="32"/>
          <w:lang w:eastAsia="zh-CN"/>
        </w:rPr>
        <w:t>申请主体。近两年内提交的专利预审申请预审合格</w:t>
      </w:r>
      <w:r>
        <w:rPr>
          <w:rFonts w:hint="eastAsia" w:ascii="仿宋_GB2312" w:hAnsi="Times New Roman" w:eastAsia="仿宋_GB2312" w:cs="Times New Roman"/>
          <w:color w:val="auto"/>
          <w:sz w:val="32"/>
          <w:szCs w:val="32"/>
          <w:lang w:val="en-US" w:eastAsia="zh-CN"/>
        </w:rPr>
        <w:t>3件以上。</w:t>
      </w:r>
    </w:p>
    <w:p>
      <w:pPr>
        <w:keepNext w:val="0"/>
        <w:keepLines w:val="0"/>
        <w:pageBreakBefore w:val="0"/>
        <w:kinsoku/>
        <w:wordWrap/>
        <w:overflowPunct/>
        <w:topLinePunct w:val="0"/>
        <w:bidi w:val="0"/>
        <w:adjustRightInd/>
        <w:snapToGrid/>
        <w:spacing w:line="240" w:lineRule="auto"/>
        <w:ind w:firstLine="627" w:firstLineChars="196"/>
        <w:textAlignment w:val="auto"/>
        <w:rPr>
          <w:rFonts w:ascii="楷体" w:hAnsi="楷体" w:eastAsia="楷体" w:cs="Times New Roman"/>
          <w:color w:val="auto"/>
          <w:sz w:val="32"/>
          <w:szCs w:val="32"/>
        </w:rPr>
      </w:pPr>
      <w:r>
        <w:rPr>
          <w:rFonts w:hint="eastAsia" w:ascii="仿宋_GB2312" w:hAnsi="Times New Roman" w:eastAsia="仿宋_GB2312" w:cs="Times New Roman"/>
          <w:color w:val="auto"/>
          <w:sz w:val="32"/>
          <w:szCs w:val="32"/>
          <w:lang w:eastAsia="zh-CN"/>
        </w:rPr>
        <w:t>（二）代理机构。近两年内代理的专利预审申请预审合格</w:t>
      </w:r>
      <w:r>
        <w:rPr>
          <w:rFonts w:hint="eastAsia" w:ascii="仿宋_GB2312" w:hAnsi="Times New Roman" w:eastAsia="仿宋_GB2312" w:cs="Times New Roman"/>
          <w:color w:val="auto"/>
          <w:sz w:val="32"/>
          <w:szCs w:val="32"/>
          <w:lang w:val="en-US" w:eastAsia="zh-CN"/>
        </w:rPr>
        <w:t>10件以上。</w:t>
      </w:r>
    </w:p>
    <w:p>
      <w:pPr>
        <w:pageBreakBefore w:val="0"/>
        <w:kinsoku/>
        <w:wordWrap/>
        <w:overflowPunct/>
        <w:topLinePunct w:val="0"/>
        <w:bidi w:val="0"/>
        <w:adjustRightInd/>
        <w:snapToGrid/>
        <w:spacing w:line="240" w:lineRule="auto"/>
        <w:ind w:firstLine="642" w:firstLineChars="200"/>
        <w:textAlignment w:val="auto"/>
        <w:rPr>
          <w:rFonts w:hint="eastAsia" w:ascii="仿宋_GB2312" w:eastAsia="仿宋_GB2312"/>
          <w:color w:val="auto"/>
          <w:sz w:val="32"/>
          <w:szCs w:val="32"/>
          <w:lang w:val="en-US" w:eastAsia="zh-CN"/>
        </w:rPr>
      </w:pPr>
      <w:r>
        <w:rPr>
          <w:rFonts w:hint="eastAsia" w:ascii="楷体_GB2312" w:eastAsia="楷体_GB2312"/>
          <w:b/>
          <w:color w:val="auto"/>
          <w:sz w:val="32"/>
          <w:szCs w:val="32"/>
        </w:rPr>
        <w:t>第</w:t>
      </w:r>
      <w:r>
        <w:rPr>
          <w:rFonts w:hint="eastAsia" w:ascii="楷体_GB2312" w:eastAsia="楷体_GB2312"/>
          <w:b/>
          <w:color w:val="auto"/>
          <w:sz w:val="32"/>
          <w:szCs w:val="32"/>
          <w:lang w:eastAsia="zh-CN"/>
        </w:rPr>
        <w:t>八</w:t>
      </w:r>
      <w:r>
        <w:rPr>
          <w:rFonts w:hint="eastAsia" w:ascii="楷体_GB2312" w:eastAsia="楷体_GB2312"/>
          <w:b/>
          <w:color w:val="auto"/>
          <w:sz w:val="32"/>
          <w:szCs w:val="32"/>
        </w:rPr>
        <w:t>条</w:t>
      </w:r>
      <w:r>
        <w:rPr>
          <w:rFonts w:hint="eastAsia" w:ascii="仿宋_GB2312" w:eastAsia="仿宋_GB2312"/>
          <w:color w:val="auto"/>
          <w:sz w:val="32"/>
          <w:szCs w:val="32"/>
        </w:rPr>
        <w:t>　</w:t>
      </w:r>
      <w:r>
        <w:rPr>
          <w:rFonts w:hint="eastAsia" w:ascii="仿宋_GB2312" w:eastAsia="仿宋_GB2312"/>
          <w:color w:val="auto"/>
          <w:sz w:val="32"/>
          <w:szCs w:val="32"/>
          <w:lang w:val="en-US" w:eastAsia="zh-CN"/>
        </w:rPr>
        <w:t>指标说明。</w:t>
      </w:r>
      <w:r>
        <w:rPr>
          <w:rFonts w:hint="eastAsia" w:ascii="仿宋_GB2312" w:hAnsi="Times New Roman" w:eastAsia="仿宋_GB2312" w:cs="Times New Roman"/>
          <w:color w:val="auto"/>
          <w:sz w:val="32"/>
          <w:szCs w:val="32"/>
          <w:lang w:eastAsia="zh-CN"/>
        </w:rPr>
        <w:t>专利预审受理量为经保护中心审核符合进入预审审查阶段的案件数量，预审合格量为经保护中心预审合格进入国家知识产权局专利审查快速通道的专利数量，预审合格率为预审合格量与预审受理量的比值。</w:t>
      </w:r>
    </w:p>
    <w:p>
      <w:pPr>
        <w:pageBreakBefore w:val="0"/>
        <w:kinsoku/>
        <w:wordWrap/>
        <w:overflowPunct/>
        <w:topLinePunct w:val="0"/>
        <w:bidi w:val="0"/>
        <w:adjustRightInd/>
        <w:snapToGrid/>
        <w:spacing w:line="240" w:lineRule="auto"/>
        <w:ind w:firstLine="642" w:firstLineChars="200"/>
        <w:textAlignment w:val="auto"/>
        <w:rPr>
          <w:rFonts w:hint="eastAsia" w:ascii="仿宋_GB2312" w:eastAsia="仿宋_GB2312"/>
          <w:color w:val="auto"/>
          <w:sz w:val="32"/>
          <w:szCs w:val="32"/>
          <w:lang w:eastAsia="zh-CN"/>
        </w:rPr>
      </w:pPr>
      <w:r>
        <w:rPr>
          <w:rFonts w:hint="eastAsia" w:ascii="楷体_GB2312" w:eastAsia="楷体_GB2312"/>
          <w:b/>
          <w:color w:val="auto"/>
          <w:sz w:val="32"/>
          <w:szCs w:val="32"/>
          <w:lang w:eastAsia="zh-CN"/>
        </w:rPr>
        <w:t>第九条</w:t>
      </w:r>
      <w:r>
        <w:rPr>
          <w:rFonts w:hint="eastAsia" w:ascii="楷体_GB2312" w:eastAsia="楷体_GB2312"/>
          <w:b/>
          <w:color w:val="auto"/>
          <w:sz w:val="32"/>
          <w:szCs w:val="32"/>
          <w:lang w:val="en-US" w:eastAsia="zh-CN"/>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lang w:eastAsia="zh-CN"/>
        </w:rPr>
        <w:t>在同等条件下，专利预审信用星级高的申请主体和代理机构可享受如下政策支持：</w:t>
      </w:r>
    </w:p>
    <w:p>
      <w:pPr>
        <w:pageBreakBefore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（一）保护中心优先向其提供高价值专利挖掘、布局、申报等辅导</w:t>
      </w:r>
      <w:r>
        <w:rPr>
          <w:rFonts w:hint="eastAsia" w:ascii="仿宋_GB2312" w:eastAsia="仿宋_GB2312"/>
          <w:color w:val="auto"/>
          <w:sz w:val="32"/>
          <w:szCs w:val="32"/>
          <w:lang w:val="en-US" w:eastAsia="zh-CN"/>
        </w:rPr>
        <w:t>服务</w:t>
      </w:r>
      <w:r>
        <w:rPr>
          <w:rFonts w:hint="eastAsia" w:ascii="仿宋_GB2312" w:eastAsia="仿宋_GB2312"/>
          <w:color w:val="auto"/>
          <w:sz w:val="32"/>
          <w:szCs w:val="32"/>
          <w:lang w:eastAsia="zh-CN"/>
        </w:rPr>
        <w:t>。</w:t>
      </w:r>
    </w:p>
    <w:p>
      <w:pPr>
        <w:pageBreakBefore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（二）在保护中心组织的知识产权实务培训及人才培养活动中优先保障参培名</w:t>
      </w:r>
      <w:bookmarkStart w:id="1" w:name="_GoBack"/>
      <w:bookmarkEnd w:id="1"/>
      <w:r>
        <w:rPr>
          <w:rFonts w:hint="eastAsia" w:ascii="仿宋_GB2312" w:eastAsia="仿宋_GB2312"/>
          <w:color w:val="auto"/>
          <w:sz w:val="32"/>
          <w:szCs w:val="32"/>
          <w:lang w:eastAsia="zh-CN"/>
        </w:rPr>
        <w:t>额；</w:t>
      </w:r>
    </w:p>
    <w:p>
      <w:pPr>
        <w:pageBreakBefore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（三）优先受理知识产权维权援助或专利导航预警项目申请。</w:t>
      </w:r>
    </w:p>
    <w:p>
      <w:pPr>
        <w:pageBreakBefore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（四）保护中心可提供的其他知识产权服务。</w:t>
      </w:r>
    </w:p>
    <w:p>
      <w:pPr>
        <w:pageBreakBefore w:val="0"/>
        <w:kinsoku/>
        <w:wordWrap/>
        <w:overflowPunct/>
        <w:topLinePunct w:val="0"/>
        <w:bidi w:val="0"/>
        <w:adjustRightInd/>
        <w:snapToGrid/>
        <w:spacing w:line="240" w:lineRule="auto"/>
        <w:ind w:firstLine="642" w:firstLineChars="200"/>
        <w:textAlignment w:val="auto"/>
        <w:rPr>
          <w:rFonts w:hint="eastAsia" w:ascii="仿宋_GB2312" w:hAnsi="宋体" w:eastAsia="仿宋_GB2312"/>
          <w:color w:val="auto"/>
          <w:sz w:val="32"/>
          <w:szCs w:val="32"/>
          <w:lang w:eastAsia="zh-CN"/>
        </w:rPr>
      </w:pPr>
      <w:r>
        <w:rPr>
          <w:rFonts w:hint="eastAsia" w:ascii="楷体_GB2312" w:eastAsia="楷体_GB2312"/>
          <w:b/>
          <w:color w:val="auto"/>
          <w:sz w:val="32"/>
          <w:szCs w:val="32"/>
          <w:lang w:eastAsia="zh-CN"/>
        </w:rPr>
        <w:t>第十条</w:t>
      </w:r>
      <w:r>
        <w:rPr>
          <w:rFonts w:hint="eastAsia" w:ascii="楷体_GB2312" w:eastAsia="楷体_GB2312"/>
          <w:b/>
          <w:color w:val="auto"/>
          <w:sz w:val="32"/>
          <w:szCs w:val="32"/>
          <w:lang w:val="en-US" w:eastAsia="zh-CN"/>
        </w:rPr>
        <w:t xml:space="preserve">  </w:t>
      </w:r>
      <w:r>
        <w:rPr>
          <w:rFonts w:hint="eastAsia" w:ascii="仿宋_GB2312" w:hAnsi="宋体" w:eastAsia="仿宋_GB2312"/>
          <w:color w:val="auto"/>
          <w:sz w:val="32"/>
          <w:szCs w:val="32"/>
          <w:lang w:val="en-US" w:eastAsia="zh-CN"/>
        </w:rPr>
        <w:t>申请主体和代理机构</w:t>
      </w:r>
      <w:r>
        <w:rPr>
          <w:rFonts w:hint="eastAsia" w:ascii="仿宋_GB2312" w:eastAsia="仿宋_GB2312"/>
          <w:color w:val="auto"/>
          <w:sz w:val="32"/>
          <w:szCs w:val="32"/>
          <w:lang w:eastAsia="zh-CN"/>
        </w:rPr>
        <w:t>违反</w:t>
      </w:r>
      <w:r>
        <w:rPr>
          <w:rFonts w:hint="eastAsia" w:ascii="仿宋_GB2312" w:hAnsi="宋体" w:eastAsia="仿宋_GB2312"/>
          <w:color w:val="auto"/>
          <w:sz w:val="32"/>
          <w:szCs w:val="32"/>
          <w:lang w:eastAsia="zh-CN"/>
        </w:rPr>
        <w:t>《中国（新乡）知识产权保护中心专利预审管理办法（试行）》有关</w:t>
      </w:r>
      <w:r>
        <w:rPr>
          <w:rFonts w:hint="eastAsia" w:ascii="仿宋_GB2312" w:hAnsi="宋体" w:eastAsia="仿宋_GB2312"/>
          <w:color w:val="auto"/>
          <w:sz w:val="32"/>
          <w:szCs w:val="32"/>
          <w:lang w:val="en-US" w:eastAsia="zh-CN"/>
        </w:rPr>
        <w:t>规定被处理，或存在非正常专利申请或代理</w:t>
      </w:r>
      <w:r>
        <w:rPr>
          <w:rFonts w:hint="eastAsia" w:ascii="仿宋_GB2312" w:hAnsi="宋体" w:eastAsia="仿宋_GB2312"/>
          <w:color w:val="auto"/>
          <w:sz w:val="32"/>
          <w:szCs w:val="32"/>
          <w:lang w:eastAsia="zh-CN"/>
        </w:rPr>
        <w:t>行为的，作信用星级降级或取消星级处理。</w:t>
      </w:r>
    </w:p>
    <w:p>
      <w:pPr>
        <w:pageBreakBefore w:val="0"/>
        <w:kinsoku/>
        <w:wordWrap/>
        <w:overflowPunct/>
        <w:topLinePunct w:val="0"/>
        <w:bidi w:val="0"/>
        <w:adjustRightInd/>
        <w:snapToGrid/>
        <w:spacing w:line="240" w:lineRule="auto"/>
        <w:ind w:firstLine="640" w:firstLineChars="200"/>
        <w:textAlignment w:val="auto"/>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lang w:eastAsia="zh-CN"/>
        </w:rPr>
        <w:t>（一）被处以警</w:t>
      </w:r>
      <w:r>
        <w:rPr>
          <w:rFonts w:hint="eastAsia" w:ascii="仿宋_GB2312" w:hAnsi="宋体" w:eastAsia="仿宋_GB2312"/>
          <w:color w:val="auto"/>
          <w:sz w:val="32"/>
          <w:szCs w:val="32"/>
          <w:lang w:val="en-US" w:eastAsia="zh-CN"/>
        </w:rPr>
        <w:t>告的降低一级信用星级，直至降为一星信用星级。</w:t>
      </w:r>
    </w:p>
    <w:p>
      <w:pPr>
        <w:pageBreakBefore w:val="0"/>
        <w:kinsoku/>
        <w:wordWrap/>
        <w:overflowPunct/>
        <w:topLinePunct w:val="0"/>
        <w:bidi w:val="0"/>
        <w:adjustRightInd/>
        <w:snapToGrid/>
        <w:spacing w:line="240" w:lineRule="auto"/>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val="en-US" w:eastAsia="zh-CN"/>
        </w:rPr>
        <w:t>（二）</w:t>
      </w:r>
      <w:r>
        <w:rPr>
          <w:rFonts w:hint="eastAsia" w:ascii="仿宋_GB2312" w:hAnsi="宋体" w:eastAsia="仿宋_GB2312"/>
          <w:color w:val="auto"/>
          <w:sz w:val="32"/>
          <w:szCs w:val="32"/>
          <w:lang w:eastAsia="zh-CN"/>
        </w:rPr>
        <w:t>被处以暂停专利预审申请资格或预审申请代理服务资格的直接取消星级，资格恢复后重新根据专利预审申请及代理情况评定星级。</w:t>
      </w:r>
    </w:p>
    <w:p>
      <w:pPr>
        <w:pageBreakBefore w:val="0"/>
        <w:kinsoku/>
        <w:wordWrap/>
        <w:overflowPunct/>
        <w:topLinePunct w:val="0"/>
        <w:bidi w:val="0"/>
        <w:adjustRightInd/>
        <w:snapToGrid/>
        <w:spacing w:line="240" w:lineRule="auto"/>
        <w:ind w:firstLine="640" w:firstLineChars="200"/>
        <w:textAlignment w:val="auto"/>
        <w:rPr>
          <w:rFonts w:hint="eastAsia" w:ascii="仿宋_GB2312" w:hAnsi="宋体" w:eastAsia="仿宋_GB2312"/>
          <w:color w:val="auto"/>
          <w:sz w:val="32"/>
          <w:szCs w:val="32"/>
          <w:lang w:eastAsia="zh-CN"/>
        </w:rPr>
      </w:pPr>
      <w:r>
        <w:rPr>
          <w:rFonts w:hint="eastAsia" w:ascii="仿宋_GB2312" w:hAnsi="宋体" w:eastAsia="仿宋_GB2312"/>
          <w:color w:val="auto"/>
          <w:sz w:val="32"/>
          <w:szCs w:val="32"/>
          <w:lang w:eastAsia="zh-CN"/>
        </w:rPr>
        <w:t>（三）</w:t>
      </w:r>
      <w:r>
        <w:rPr>
          <w:rFonts w:hint="eastAsia" w:ascii="仿宋_GB2312" w:hAnsi="宋体" w:eastAsia="仿宋_GB2312"/>
          <w:color w:val="auto"/>
          <w:sz w:val="32"/>
          <w:szCs w:val="32"/>
          <w:lang w:val="en-US" w:eastAsia="zh-CN"/>
        </w:rPr>
        <w:t>被</w:t>
      </w:r>
      <w:r>
        <w:rPr>
          <w:rFonts w:hint="eastAsia" w:ascii="仿宋_GB2312" w:hAnsi="宋体" w:eastAsia="仿宋_GB2312"/>
          <w:color w:val="auto"/>
          <w:sz w:val="32"/>
          <w:szCs w:val="32"/>
          <w:lang w:eastAsia="zh-CN"/>
        </w:rPr>
        <w:t>列入黑名单</w:t>
      </w:r>
      <w:r>
        <w:rPr>
          <w:rFonts w:hint="eastAsia" w:ascii="仿宋_GB2312" w:hAnsi="宋体" w:eastAsia="仿宋_GB2312"/>
          <w:color w:val="auto"/>
          <w:sz w:val="32"/>
          <w:szCs w:val="32"/>
          <w:lang w:val="en-US" w:eastAsia="zh-CN"/>
        </w:rPr>
        <w:t>的作摘星处理</w:t>
      </w:r>
      <w:r>
        <w:rPr>
          <w:rFonts w:hint="eastAsia" w:ascii="仿宋_GB2312" w:hAnsi="宋体" w:eastAsia="仿宋_GB2312"/>
          <w:color w:val="auto"/>
          <w:sz w:val="32"/>
          <w:szCs w:val="32"/>
          <w:lang w:eastAsia="zh-CN"/>
        </w:rPr>
        <w:t>。</w:t>
      </w:r>
    </w:p>
    <w:p>
      <w:pPr>
        <w:pageBreakBefore w:val="0"/>
        <w:kinsoku/>
        <w:wordWrap/>
        <w:overflowPunct/>
        <w:topLinePunct w:val="0"/>
        <w:bidi w:val="0"/>
        <w:adjustRightInd/>
        <w:snapToGrid/>
        <w:spacing w:line="240" w:lineRule="auto"/>
        <w:ind w:firstLine="640" w:firstLineChars="200"/>
        <w:textAlignment w:val="auto"/>
        <w:rPr>
          <w:rFonts w:hint="eastAsia" w:ascii="仿宋_GB2312" w:hAnsi="Times New Roman" w:eastAsia="仿宋_GB2312" w:cs="Times New Roman"/>
          <w:color w:val="auto"/>
          <w:sz w:val="32"/>
          <w:szCs w:val="32"/>
          <w:lang w:eastAsia="zh-CN"/>
        </w:rPr>
      </w:pPr>
      <w:r>
        <w:rPr>
          <w:rFonts w:hint="eastAsia" w:ascii="仿宋_GB2312" w:hAnsi="宋体" w:eastAsia="仿宋_GB2312"/>
          <w:color w:val="auto"/>
          <w:sz w:val="32"/>
          <w:szCs w:val="32"/>
          <w:lang w:eastAsia="zh-CN"/>
        </w:rPr>
        <w:t>（四）上一年度申请主体</w:t>
      </w:r>
      <w:r>
        <w:rPr>
          <w:rFonts w:hint="eastAsia" w:ascii="仿宋_GB2312" w:hAnsi="Times New Roman" w:eastAsia="仿宋_GB2312" w:cs="Times New Roman"/>
          <w:color w:val="auto"/>
          <w:sz w:val="32"/>
          <w:szCs w:val="32"/>
          <w:lang w:eastAsia="zh-CN"/>
        </w:rPr>
        <w:t>出现国家知识产权局认定的非正常专利申请</w:t>
      </w:r>
      <w:r>
        <w:rPr>
          <w:rFonts w:hint="eastAsia" w:ascii="仿宋_GB2312" w:hAnsi="Times New Roman" w:eastAsia="仿宋_GB2312" w:cs="Times New Roman"/>
          <w:color w:val="auto"/>
          <w:sz w:val="32"/>
          <w:szCs w:val="32"/>
          <w:lang w:val="en-US" w:eastAsia="zh-CN"/>
        </w:rPr>
        <w:t>2件（含）以上</w:t>
      </w:r>
      <w:r>
        <w:rPr>
          <w:rFonts w:hint="eastAsia" w:ascii="仿宋_GB2312" w:hAnsi="Times New Roman" w:eastAsia="仿宋_GB2312" w:cs="Times New Roman"/>
          <w:color w:val="auto"/>
          <w:sz w:val="32"/>
          <w:szCs w:val="32"/>
          <w:lang w:eastAsia="zh-CN"/>
        </w:rPr>
        <w:t>的或者代理机构在新乡地区</w:t>
      </w:r>
      <w:r>
        <w:rPr>
          <w:rFonts w:hint="eastAsia" w:ascii="仿宋_GB2312" w:hAnsi="Times New Roman" w:eastAsia="仿宋_GB2312" w:cs="Times New Roman"/>
          <w:color w:val="auto"/>
          <w:sz w:val="32"/>
          <w:szCs w:val="32"/>
          <w:lang w:val="en-US" w:eastAsia="zh-CN"/>
        </w:rPr>
        <w:t>代理的专利申请被认定为</w:t>
      </w:r>
      <w:r>
        <w:rPr>
          <w:rFonts w:hint="eastAsia" w:ascii="仿宋_GB2312" w:hAnsi="Times New Roman" w:eastAsia="仿宋_GB2312" w:cs="Times New Roman"/>
          <w:color w:val="auto"/>
          <w:sz w:val="32"/>
          <w:szCs w:val="32"/>
          <w:lang w:eastAsia="zh-CN"/>
        </w:rPr>
        <w:t>非正常</w:t>
      </w:r>
      <w:r>
        <w:rPr>
          <w:rFonts w:hint="eastAsia" w:ascii="仿宋_GB2312" w:hAnsi="Times New Roman" w:eastAsia="仿宋_GB2312" w:cs="Times New Roman"/>
          <w:color w:val="auto"/>
          <w:sz w:val="32"/>
          <w:szCs w:val="32"/>
          <w:lang w:val="en-US" w:eastAsia="zh-CN"/>
        </w:rPr>
        <w:t>5件（含）以上</w:t>
      </w:r>
      <w:r>
        <w:rPr>
          <w:rFonts w:hint="eastAsia" w:ascii="仿宋_GB2312" w:hAnsi="Times New Roman" w:eastAsia="仿宋_GB2312" w:cs="Times New Roman"/>
          <w:color w:val="auto"/>
          <w:sz w:val="32"/>
          <w:szCs w:val="32"/>
          <w:lang w:eastAsia="zh-CN"/>
        </w:rPr>
        <w:t>的降低一级信用星级。</w:t>
      </w:r>
    </w:p>
    <w:p>
      <w:pPr>
        <w:pageBreakBefore w:val="0"/>
        <w:kinsoku/>
        <w:wordWrap/>
        <w:overflowPunct/>
        <w:topLinePunct w:val="0"/>
        <w:bidi w:val="0"/>
        <w:adjustRightInd/>
        <w:snapToGrid/>
        <w:spacing w:line="240" w:lineRule="auto"/>
        <w:ind w:firstLine="640" w:firstLineChars="200"/>
        <w:textAlignment w:val="auto"/>
        <w:rPr>
          <w:rFonts w:hint="eastAsia" w:ascii="仿宋_GB2312" w:hAnsi="宋体" w:eastAsia="仿宋_GB2312"/>
          <w:color w:val="auto"/>
          <w:sz w:val="32"/>
          <w:szCs w:val="32"/>
          <w:lang w:eastAsia="zh-CN"/>
        </w:rPr>
      </w:pPr>
      <w:r>
        <w:rPr>
          <w:rFonts w:hint="eastAsia" w:ascii="仿宋_GB2312" w:hAnsi="Times New Roman" w:eastAsia="仿宋_GB2312" w:cs="Times New Roman"/>
          <w:color w:val="auto"/>
          <w:sz w:val="32"/>
          <w:szCs w:val="32"/>
          <w:lang w:eastAsia="zh-CN"/>
        </w:rPr>
        <w:t>申请主体和代理机构同时违反上述两项以上的</w:t>
      </w:r>
      <w:r>
        <w:rPr>
          <w:rFonts w:hint="eastAsia" w:ascii="仿宋_GB2312" w:hAnsi="宋体" w:eastAsia="仿宋_GB2312"/>
          <w:color w:val="auto"/>
          <w:sz w:val="32"/>
          <w:szCs w:val="32"/>
          <w:lang w:eastAsia="zh-CN"/>
        </w:rPr>
        <w:t>，</w:t>
      </w:r>
      <w:r>
        <w:rPr>
          <w:rFonts w:hint="eastAsia" w:ascii="仿宋_GB2312" w:hAnsi="Times New Roman" w:eastAsia="仿宋_GB2312" w:cs="Times New Roman"/>
          <w:color w:val="auto"/>
          <w:sz w:val="32"/>
          <w:szCs w:val="32"/>
          <w:lang w:eastAsia="zh-CN"/>
        </w:rPr>
        <w:t>按照处理较重的标准执行。</w:t>
      </w:r>
    </w:p>
    <w:p>
      <w:pPr>
        <w:pageBreakBefore w:val="0"/>
        <w:kinsoku/>
        <w:wordWrap/>
        <w:overflowPunct/>
        <w:topLinePunct w:val="0"/>
        <w:bidi w:val="0"/>
        <w:adjustRightInd/>
        <w:snapToGrid/>
        <w:spacing w:line="240" w:lineRule="auto"/>
        <w:ind w:firstLine="642" w:firstLineChars="200"/>
        <w:textAlignment w:val="auto"/>
        <w:rPr>
          <w:rFonts w:hint="eastAsia" w:ascii="仿宋_GB2312" w:hAnsi="宋体" w:eastAsia="仿宋_GB2312"/>
          <w:color w:val="auto"/>
          <w:sz w:val="32"/>
          <w:szCs w:val="32"/>
          <w:lang w:eastAsia="zh-CN"/>
        </w:rPr>
      </w:pPr>
      <w:r>
        <w:rPr>
          <w:rFonts w:hint="eastAsia" w:ascii="楷体_GB2312" w:eastAsia="楷体_GB2312"/>
          <w:b/>
          <w:color w:val="auto"/>
          <w:sz w:val="32"/>
          <w:szCs w:val="32"/>
          <w:lang w:val="en-US" w:eastAsia="zh-CN"/>
        </w:rPr>
        <w:t xml:space="preserve">第十一条 </w:t>
      </w:r>
      <w:r>
        <w:rPr>
          <w:rFonts w:hint="eastAsia" w:ascii="仿宋_GB2312" w:eastAsia="仿宋_GB2312"/>
          <w:color w:val="auto"/>
          <w:sz w:val="32"/>
          <w:szCs w:val="32"/>
          <w:lang w:eastAsia="zh-CN"/>
        </w:rPr>
        <w:t>保护中心</w:t>
      </w:r>
      <w:r>
        <w:rPr>
          <w:rFonts w:hint="eastAsia" w:ascii="仿宋_GB2312" w:eastAsia="仿宋_GB2312"/>
          <w:color w:val="auto"/>
          <w:sz w:val="32"/>
          <w:szCs w:val="32"/>
          <w:lang w:val="en-US" w:eastAsia="zh-CN"/>
        </w:rPr>
        <w:t>每年按照评定条件对信用星级进行一次调整，统计数据截止时间为上一年度12月31日。</w:t>
      </w:r>
    </w:p>
    <w:p>
      <w:pPr>
        <w:ind w:firstLine="642" w:firstLineChars="200"/>
        <w:jc w:val="both"/>
        <w:rPr>
          <w:rFonts w:ascii="仿宋_GB2312" w:hAnsi="宋体" w:eastAsia="仿宋_GB2312"/>
          <w:bCs/>
          <w:snapToGrid w:val="0"/>
          <w:color w:val="auto"/>
          <w:kern w:val="0"/>
          <w:sz w:val="28"/>
          <w:szCs w:val="28"/>
        </w:rPr>
      </w:pPr>
      <w:r>
        <w:rPr>
          <w:rFonts w:hint="eastAsia" w:ascii="楷体_GB2312" w:eastAsia="楷体_GB2312"/>
          <w:b/>
          <w:color w:val="auto"/>
          <w:sz w:val="32"/>
          <w:szCs w:val="32"/>
        </w:rPr>
        <w:t>第</w:t>
      </w:r>
      <w:r>
        <w:rPr>
          <w:rFonts w:hint="eastAsia" w:ascii="楷体_GB2312" w:eastAsia="楷体_GB2312"/>
          <w:b/>
          <w:color w:val="auto"/>
          <w:sz w:val="32"/>
          <w:szCs w:val="32"/>
          <w:lang w:val="en-US" w:eastAsia="zh-CN"/>
        </w:rPr>
        <w:t>十二</w:t>
      </w:r>
      <w:r>
        <w:rPr>
          <w:rFonts w:hint="eastAsia" w:ascii="楷体_GB2312" w:eastAsia="楷体_GB2312"/>
          <w:b/>
          <w:color w:val="auto"/>
          <w:sz w:val="32"/>
          <w:szCs w:val="32"/>
        </w:rPr>
        <w:t>条</w:t>
      </w:r>
      <w:r>
        <w:rPr>
          <w:rFonts w:hint="eastAsia" w:ascii="仿宋_GB2312" w:eastAsia="仿宋_GB2312"/>
          <w:color w:val="auto"/>
          <w:sz w:val="32"/>
          <w:szCs w:val="32"/>
        </w:rPr>
        <w:t>　本办法</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保护中心</w:t>
      </w:r>
      <w:r>
        <w:rPr>
          <w:rFonts w:hint="eastAsia" w:ascii="仿宋_GB2312" w:hAnsi="仿宋_GB2312" w:eastAsia="仿宋_GB2312" w:cs="仿宋_GB2312"/>
          <w:color w:val="auto"/>
          <w:kern w:val="0"/>
          <w:sz w:val="32"/>
          <w:szCs w:val="32"/>
        </w:rPr>
        <w:t>负责解释，</w:t>
      </w:r>
      <w:r>
        <w:rPr>
          <w:rFonts w:hint="eastAsia" w:ascii="仿宋_GB2312" w:eastAsia="仿宋_GB2312"/>
          <w:color w:val="auto"/>
          <w:sz w:val="32"/>
          <w:szCs w:val="32"/>
        </w:rPr>
        <w:t>自印发之日起施行</w:t>
      </w:r>
      <w:r>
        <w:rPr>
          <w:rFonts w:hint="eastAsia" w:ascii="仿宋_GB2312" w:hAnsi="仿宋_GB2312" w:eastAsia="仿宋_GB2312" w:cs="仿宋_GB2312"/>
          <w:color w:val="auto"/>
          <w:kern w:val="0"/>
          <w:sz w:val="32"/>
          <w:szCs w:val="32"/>
        </w:rPr>
        <w:t>。</w:t>
      </w:r>
    </w:p>
    <w:p>
      <w:pPr>
        <w:widowControl/>
        <w:jc w:val="left"/>
        <w:rPr>
          <w:rFonts w:ascii="仿宋_GB2312" w:hAnsi="宋体" w:eastAsia="仿宋_GB2312"/>
          <w:bCs/>
          <w:snapToGrid w:val="0"/>
          <w:color w:val="auto"/>
          <w:kern w:val="0"/>
          <w:sz w:val="28"/>
          <w:szCs w:val="28"/>
        </w:rPr>
      </w:pPr>
    </w:p>
    <w:p>
      <w:pPr>
        <w:widowControl/>
        <w:jc w:val="left"/>
        <w:rPr>
          <w:rFonts w:ascii="仿宋_GB2312" w:hAnsi="宋体" w:eastAsia="仿宋_GB2312"/>
          <w:bCs/>
          <w:snapToGrid w:val="0"/>
          <w:color w:val="auto"/>
          <w:kern w:val="0"/>
          <w:sz w:val="28"/>
          <w:szCs w:val="28"/>
        </w:rPr>
      </w:pPr>
    </w:p>
    <w:p>
      <w:pPr>
        <w:widowControl/>
        <w:jc w:val="left"/>
        <w:rPr>
          <w:rFonts w:ascii="仿宋_GB2312" w:hAnsi="宋体" w:eastAsia="仿宋_GB2312"/>
          <w:bCs/>
          <w:snapToGrid w:val="0"/>
          <w:color w:val="auto"/>
          <w:kern w:val="0"/>
          <w:sz w:val="28"/>
          <w:szCs w:val="28"/>
        </w:rPr>
      </w:pPr>
    </w:p>
    <w:p>
      <w:pPr>
        <w:widowControl/>
        <w:jc w:val="left"/>
        <w:rPr>
          <w:rFonts w:ascii="仿宋_GB2312" w:hAnsi="宋体" w:eastAsia="仿宋_GB2312"/>
          <w:bCs/>
          <w:snapToGrid w:val="0"/>
          <w:color w:val="auto"/>
          <w:kern w:val="0"/>
          <w:sz w:val="28"/>
          <w:szCs w:val="28"/>
        </w:rPr>
      </w:pPr>
    </w:p>
    <w:p>
      <w:pPr>
        <w:widowControl/>
        <w:jc w:val="left"/>
        <w:rPr>
          <w:rFonts w:ascii="仿宋_GB2312" w:hAnsi="宋体" w:eastAsia="仿宋_GB2312"/>
          <w:bCs/>
          <w:snapToGrid w:val="0"/>
          <w:color w:val="auto"/>
          <w:kern w:val="0"/>
          <w:sz w:val="28"/>
          <w:szCs w:val="28"/>
        </w:rPr>
      </w:pPr>
      <w:r>
        <w:rPr>
          <w:rFonts w:ascii="仿宋_GB2312" w:hAnsi="宋体" w:eastAsia="仿宋_GB2312"/>
          <w:bCs/>
          <w:snapToGrid w:val="0"/>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395605</wp:posOffset>
                </wp:positionV>
                <wp:extent cx="5748655" cy="7620"/>
                <wp:effectExtent l="0" t="0" r="0" b="0"/>
                <wp:wrapNone/>
                <wp:docPr id="6" name="Line 8"/>
                <wp:cNvGraphicFramePr/>
                <a:graphic xmlns:a="http://schemas.openxmlformats.org/drawingml/2006/main">
                  <a:graphicData uri="http://schemas.microsoft.com/office/word/2010/wordprocessingShape">
                    <wps:wsp>
                      <wps:cNvCnPr/>
                      <wps:spPr>
                        <a:xfrm>
                          <a:off x="0" y="0"/>
                          <a:ext cx="5748655" cy="762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Line 8" o:spid="_x0000_s1026" o:spt="20" style="position:absolute;left:0pt;margin-left:0.1pt;margin-top:31.15pt;height:0.6pt;width:452.65pt;z-index:251660288;mso-width-relative:page;mso-height-relative:page;" filled="f" stroked="t" coordsize="21600,21600" o:gfxdata="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">
                <v:fill on="f" focussize="0,0"/>
                <v:stroke weight="1pt" color="#000000" joinstyle="round"/>
                <v:imagedata o:title=""/>
                <o:lock v:ext="edit" aspectratio="f"/>
              </v:line>
            </w:pict>
          </mc:Fallback>
        </mc:AlternateContent>
      </w:r>
    </w:p>
    <w:p>
      <w:pPr>
        <w:ind w:firstLine="150" w:firstLineChars="50"/>
        <w:rPr>
          <w:rFonts w:hint="eastAsia" w:ascii="仿宋_GB2312" w:hAnsi="宋体" w:eastAsia="仿宋_GB2312"/>
          <w:color w:val="auto"/>
          <w:sz w:val="32"/>
          <w:szCs w:val="32"/>
        </w:rPr>
      </w:pPr>
      <w:r>
        <w:rPr>
          <w:rFonts w:ascii="仿宋_GB2312" w:hAnsi="宋体" w:eastAsia="仿宋_GB2312"/>
          <w:bCs/>
          <w:snapToGrid w:val="0"/>
          <w:color w:val="auto"/>
          <w:kern w:val="0"/>
          <w:sz w:val="30"/>
          <w:szCs w:val="30"/>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398145</wp:posOffset>
                </wp:positionV>
                <wp:extent cx="5739765" cy="4445"/>
                <wp:effectExtent l="0" t="0" r="0" b="0"/>
                <wp:wrapNone/>
                <wp:docPr id="7" name="Line 9"/>
                <wp:cNvGraphicFramePr/>
                <a:graphic xmlns:a="http://schemas.openxmlformats.org/drawingml/2006/main">
                  <a:graphicData uri="http://schemas.microsoft.com/office/word/2010/wordprocessingShape">
                    <wps:wsp>
                      <wps:cNvCnPr/>
                      <wps:spPr>
                        <a:xfrm flipV="1">
                          <a:off x="0" y="0"/>
                          <a:ext cx="5739765" cy="4445"/>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Line 9" o:spid="_x0000_s1026" o:spt="20" style="position:absolute;left:0pt;flip:y;margin-left:0.05pt;margin-top:31.35pt;height:0.35pt;width:451.95pt;z-index:251661312;mso-width-relative:page;mso-height-relative:page;" filled="f" stroked="t" coordsize="21600,21600" o:gfxdata="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">
                <v:fill on="f" focussize="0,0"/>
                <v:stroke weight="1pt" color="#000000" joinstyle="round"/>
                <v:imagedata o:title=""/>
                <o:lock v:ext="edit" aspectratio="f"/>
              </v:line>
            </w:pict>
          </mc:Fallback>
        </mc:AlternateContent>
      </w:r>
      <w:r>
        <w:rPr>
          <w:rFonts w:hint="eastAsia" w:ascii="仿宋_GB2312" w:hAnsi="宋体" w:eastAsia="仿宋_GB2312"/>
          <w:bCs/>
          <w:snapToGrid w:val="0"/>
          <w:color w:val="auto"/>
          <w:kern w:val="0"/>
          <w:sz w:val="30"/>
          <w:szCs w:val="30"/>
        </w:rPr>
        <w:t>新乡市知识产权</w:t>
      </w:r>
      <w:r>
        <w:rPr>
          <w:rFonts w:hint="eastAsia" w:ascii="仿宋_GB2312" w:hAnsi="宋体" w:eastAsia="仿宋_GB2312"/>
          <w:bCs/>
          <w:snapToGrid w:val="0"/>
          <w:color w:val="auto"/>
          <w:kern w:val="0"/>
          <w:sz w:val="30"/>
          <w:szCs w:val="30"/>
          <w:lang w:val="en-US" w:eastAsia="zh-CN"/>
        </w:rPr>
        <w:t xml:space="preserve">维权保护中心    </w:t>
      </w:r>
      <w:r>
        <w:rPr>
          <w:rFonts w:hint="eastAsia" w:ascii="仿宋_GB2312" w:hAnsi="宋体" w:eastAsia="仿宋_GB2312"/>
          <w:bCs/>
          <w:snapToGrid w:val="0"/>
          <w:color w:val="auto"/>
          <w:kern w:val="0"/>
          <w:sz w:val="30"/>
          <w:szCs w:val="30"/>
        </w:rPr>
        <w:t xml:space="preserve"> </w:t>
      </w:r>
      <w:r>
        <w:rPr>
          <w:rFonts w:hint="eastAsia" w:ascii="仿宋_GB2312" w:hAnsi="宋体" w:eastAsia="仿宋_GB2312"/>
          <w:bCs/>
          <w:snapToGrid w:val="0"/>
          <w:color w:val="auto"/>
          <w:kern w:val="0"/>
          <w:sz w:val="30"/>
          <w:szCs w:val="30"/>
          <w:lang w:val="en-US" w:eastAsia="zh-CN"/>
        </w:rPr>
        <w:t xml:space="preserve">    </w:t>
      </w:r>
      <w:r>
        <w:rPr>
          <w:rFonts w:hint="eastAsia" w:ascii="仿宋_GB2312" w:hAnsi="宋体" w:eastAsia="仿宋_GB2312"/>
          <w:bCs/>
          <w:snapToGrid w:val="0"/>
          <w:color w:val="auto"/>
          <w:kern w:val="0"/>
          <w:sz w:val="30"/>
          <w:szCs w:val="30"/>
        </w:rPr>
        <w:t xml:space="preserve">  20</w:t>
      </w:r>
      <w:r>
        <w:rPr>
          <w:rFonts w:hint="eastAsia" w:ascii="仿宋_GB2312" w:hAnsi="宋体" w:eastAsia="仿宋_GB2312"/>
          <w:bCs/>
          <w:snapToGrid w:val="0"/>
          <w:color w:val="auto"/>
          <w:kern w:val="0"/>
          <w:sz w:val="30"/>
          <w:szCs w:val="30"/>
          <w:lang w:val="en-US" w:eastAsia="zh-CN"/>
        </w:rPr>
        <w:t>22</w:t>
      </w:r>
      <w:r>
        <w:rPr>
          <w:rFonts w:hint="eastAsia" w:ascii="仿宋_GB2312" w:hAnsi="宋体" w:eastAsia="仿宋_GB2312"/>
          <w:bCs/>
          <w:snapToGrid w:val="0"/>
          <w:color w:val="auto"/>
          <w:kern w:val="0"/>
          <w:sz w:val="30"/>
          <w:szCs w:val="30"/>
        </w:rPr>
        <w:t>年</w:t>
      </w:r>
      <w:r>
        <w:rPr>
          <w:rFonts w:hint="eastAsia" w:ascii="仿宋_GB2312" w:hAnsi="宋体" w:eastAsia="仿宋_GB2312"/>
          <w:bCs/>
          <w:snapToGrid w:val="0"/>
          <w:color w:val="auto"/>
          <w:kern w:val="0"/>
          <w:sz w:val="30"/>
          <w:szCs w:val="30"/>
          <w:lang w:val="en-US" w:eastAsia="zh-CN"/>
        </w:rPr>
        <w:t>9</w:t>
      </w:r>
      <w:r>
        <w:rPr>
          <w:rFonts w:hint="eastAsia" w:ascii="仿宋_GB2312" w:hAnsi="宋体" w:eastAsia="仿宋_GB2312"/>
          <w:bCs/>
          <w:snapToGrid w:val="0"/>
          <w:color w:val="auto"/>
          <w:kern w:val="0"/>
          <w:sz w:val="30"/>
          <w:szCs w:val="30"/>
        </w:rPr>
        <w:t>月</w:t>
      </w:r>
      <w:r>
        <w:rPr>
          <w:rFonts w:hint="eastAsia" w:ascii="仿宋_GB2312" w:hAnsi="宋体" w:eastAsia="仿宋_GB2312"/>
          <w:bCs/>
          <w:snapToGrid w:val="0"/>
          <w:color w:val="auto"/>
          <w:kern w:val="0"/>
          <w:sz w:val="30"/>
          <w:szCs w:val="30"/>
          <w:lang w:val="en-US" w:eastAsia="zh-CN"/>
        </w:rPr>
        <w:t>22</w:t>
      </w:r>
      <w:r>
        <w:rPr>
          <w:rFonts w:hint="eastAsia" w:ascii="仿宋_GB2312" w:hAnsi="宋体" w:eastAsia="仿宋_GB2312"/>
          <w:bCs/>
          <w:snapToGrid w:val="0"/>
          <w:color w:val="auto"/>
          <w:kern w:val="0"/>
          <w:sz w:val="30"/>
          <w:szCs w:val="30"/>
        </w:rPr>
        <w:t>日印发</w:t>
      </w:r>
    </w:p>
    <w:sectPr>
      <w:footerReference r:id="rId5" w:type="default"/>
      <w:footerReference r:id="rId6" w:type="even"/>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Arial">
    <w:altName w:val="Nimbus Roman No9 L"/>
    <w:panose1 w:val="00000000000000000000"/>
    <w:charset w:val="00"/>
    <w:family w:val="auto"/>
    <w:pitch w:val="default"/>
    <w:sig w:usb0="00000000" w:usb1="00000000" w:usb2="00000000" w:usb3="00000000" w:csb0="00000000" w:csb1="00000000"/>
  </w:font>
  <w:font w:name="汉仪旗黑-30简">
    <w:altName w:val="黑体"/>
    <w:panose1 w:val="00000000000000000000"/>
    <w:charset w:val="00"/>
    <w:family w:val="auto"/>
    <w:pitch w:val="default"/>
    <w:sig w:usb0="00000000" w:usb1="00000000" w:usb2="00000000" w:usb3="00000000" w:csb0="00000000" w:csb1="00000000"/>
  </w:font>
  <w:font w:name="汉仪方隶简">
    <w:altName w:val="方正隶书_GBK"/>
    <w:panose1 w:val="00000000000000000000"/>
    <w:charset w:val="00"/>
    <w:family w:val="auto"/>
    <w:pitch w:val="default"/>
    <w:sig w:usb0="00000000" w:usb1="00000000" w:usb2="00000000" w:usb3="00000000" w:csb0="00000000" w:csb1="00000000"/>
  </w:font>
  <w:font w:name="方正隶书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hint="eastAsia" w:ascii="仿宋_GB2312" w:eastAsia="仿宋_GB2312"/>
                              <w:sz w:val="28"/>
                              <w:szCs w:val="28"/>
                            </w:rPr>
                            <w:t>-</w:t>
                          </w:r>
                          <w:sdt>
                            <w:sdtPr>
                              <w:rPr>
                                <w:rFonts w:hint="eastAsia" w:ascii="仿宋_GB2312" w:eastAsia="仿宋_GB2312"/>
                                <w:sz w:val="28"/>
                                <w:szCs w:val="28"/>
                              </w:rPr>
                              <w:id w:val="436111220"/>
                              <w:docPartObj>
                                <w:docPartGallery w:val="autotext"/>
                              </w:docPartObj>
                            </w:sdtPr>
                            <w:sdtEndPr>
                              <w:rPr>
                                <w:rFonts w:hint="default" w:asciiTheme="minorHAnsi" w:eastAsiaTheme="minorEastAsia"/>
                                <w:sz w:val="18"/>
                                <w:szCs w:val="1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SLb2J9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6"/>
                      <w:jc w:val="right"/>
                    </w:pPr>
                    <w:r>
                      <w:rPr>
                        <w:rFonts w:hint="eastAsia" w:ascii="仿宋_GB2312" w:eastAsia="仿宋_GB2312"/>
                        <w:sz w:val="28"/>
                        <w:szCs w:val="28"/>
                      </w:rPr>
                      <w:t>-</w:t>
                    </w:r>
                    <w:sdt>
                      <w:sdtPr>
                        <w:rPr>
                          <w:rFonts w:hint="eastAsia" w:ascii="仿宋_GB2312" w:eastAsia="仿宋_GB2312"/>
                          <w:sz w:val="28"/>
                          <w:szCs w:val="28"/>
                        </w:rPr>
                        <w:id w:val="436111220"/>
                        <w:docPartObj>
                          <w:docPartGallery w:val="autotext"/>
                        </w:docPartObj>
                      </w:sdtPr>
                      <w:sdtEndPr>
                        <w:rPr>
                          <w:rFonts w:hint="default" w:asciiTheme="minorHAnsi" w:eastAsiaTheme="minorEastAsia"/>
                          <w:sz w:val="18"/>
                          <w:szCs w:val="1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sdtContent>
                    </w:sdt>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eastAsia="仿宋_GB2312"/>
                              <w:sz w:val="28"/>
                              <w:szCs w:val="28"/>
                            </w:rPr>
                            <w:t>-</w:t>
                          </w:r>
                          <w:sdt>
                            <w:sdtPr>
                              <w:rPr>
                                <w:rFonts w:hint="eastAsia" w:ascii="仿宋_GB2312" w:eastAsia="仿宋_GB2312"/>
                                <w:sz w:val="28"/>
                                <w:szCs w:val="28"/>
                              </w:rPr>
                              <w:id w:val="436111227"/>
                              <w:docPartObj>
                                <w:docPartGallery w:val="autotext"/>
                              </w:docPartObj>
                            </w:sdtPr>
                            <w:sdtEndPr>
                              <w:rPr>
                                <w:rFonts w:hint="default" w:asciiTheme="minorHAnsi" w:eastAsiaTheme="minorEastAsia"/>
                                <w:sz w:val="18"/>
                                <w:szCs w:val="1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">
              <v:fill on="f" focussize="0,0"/>
              <v:stroke on="f" weight="0.5pt"/>
              <v:imagedata o:title=""/>
              <o:lock v:ext="edit" aspectratio="f"/>
              <v:textbox inset="0mm,0mm,0mm,0mm" style="mso-fit-shape-to-text:t;">
                <w:txbxContent>
                  <w:p>
                    <w:pPr>
                      <w:pStyle w:val="6"/>
                    </w:pPr>
                    <w:r>
                      <w:rPr>
                        <w:rFonts w:hint="eastAsia" w:ascii="仿宋_GB2312" w:eastAsia="仿宋_GB2312"/>
                        <w:sz w:val="28"/>
                        <w:szCs w:val="28"/>
                      </w:rPr>
                      <w:t>-</w:t>
                    </w:r>
                    <w:sdt>
                      <w:sdtPr>
                        <w:rPr>
                          <w:rFonts w:hint="eastAsia" w:ascii="仿宋_GB2312" w:eastAsia="仿宋_GB2312"/>
                          <w:sz w:val="28"/>
                          <w:szCs w:val="28"/>
                        </w:rPr>
                        <w:id w:val="436111227"/>
                        <w:docPartObj>
                          <w:docPartGallery w:val="autotext"/>
                        </w:docPartObj>
                      </w:sdtPr>
                      <w:sdtEndPr>
                        <w:rPr>
                          <w:rFonts w:hint="default" w:asciiTheme="minorHAnsi" w:eastAsiaTheme="minorEastAsia"/>
                          <w:sz w:val="18"/>
                          <w:szCs w:val="1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sdtContent>
                    </w:sdt>
                  </w:p>
                </w:txbxContent>
              </v:textbox>
            </v:shape>
          </w:pict>
        </mc:Fallback>
      </mc:AlternateContent>
    </w:r>
  </w:p>
  <w:p>
    <w:pPr>
      <w:pStyle w:val="6"/>
      <w:rPr>
        <w:rFonts w:ascii="仿宋_GB2312" w:eastAsia="仿宋_GB2312"/>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posOffset>5147310</wp:posOffset>
              </wp:positionH>
              <wp:positionV relativeFrom="paragraph">
                <wp:posOffset>0</wp:posOffset>
              </wp:positionV>
              <wp:extent cx="396240" cy="18732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96240" cy="18732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3pt;margin-top:0pt;height:14.75pt;width:31.2pt;mso-position-horizontal-relative:margin;z-index:251661312;mso-width-relative:page;mso-height-relative:page;" filled="f" stroked="f" coordsize="21600,21600" o:gfxdata="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">
              <v:fill on="f" focussize="0,0"/>
              <v:stroke on="f" weight="0.5pt"/>
              <v:imagedata o:title=""/>
              <o:lock v:ext="edit" aspectratio="f"/>
              <v:textbox inset="0mm,0mm,0mm,0mm">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仿宋_GB2312" w:eastAsia="仿宋_GB2312"/>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30860" cy="1943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0860" cy="19431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5.3pt;width:41.8pt;mso-position-horizontal:outside;mso-position-horizontal-relative:margin;z-index:251662336;mso-width-relative:page;mso-height-relative:page;" filled="f" stroked="f" coordsize="21600,21600" o:gfxdata="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">
              <v:fill on="f" focussize="0,0"/>
              <v:stroke on="f" weight="0.5pt"/>
              <v:imagedata o:title=""/>
              <o:lock v:ext="edit" aspectratio="f"/>
              <v:textbox inset="0mm,0mm,0mm,0mm">
                <w:txbxContent>
                  <w:p>
                    <w:pPr>
                      <w:pStyle w:val="6"/>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  \* MERGEFORMAT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5C"/>
    <w:rsid w:val="00024715"/>
    <w:rsid w:val="00065043"/>
    <w:rsid w:val="000656D9"/>
    <w:rsid w:val="000A6F7D"/>
    <w:rsid w:val="000B2A0D"/>
    <w:rsid w:val="00111A5C"/>
    <w:rsid w:val="001348B2"/>
    <w:rsid w:val="001B0556"/>
    <w:rsid w:val="00261578"/>
    <w:rsid w:val="002C0295"/>
    <w:rsid w:val="002E733A"/>
    <w:rsid w:val="00325AE8"/>
    <w:rsid w:val="003E5BAD"/>
    <w:rsid w:val="00435551"/>
    <w:rsid w:val="00490504"/>
    <w:rsid w:val="004D1B0A"/>
    <w:rsid w:val="004E0B68"/>
    <w:rsid w:val="0058200F"/>
    <w:rsid w:val="005F4F2C"/>
    <w:rsid w:val="006034E8"/>
    <w:rsid w:val="0062747B"/>
    <w:rsid w:val="00634DB8"/>
    <w:rsid w:val="00655207"/>
    <w:rsid w:val="00657AF9"/>
    <w:rsid w:val="0066301F"/>
    <w:rsid w:val="006B709C"/>
    <w:rsid w:val="006D74B8"/>
    <w:rsid w:val="0071127A"/>
    <w:rsid w:val="0071301F"/>
    <w:rsid w:val="00716411"/>
    <w:rsid w:val="007328D1"/>
    <w:rsid w:val="008979F3"/>
    <w:rsid w:val="008A6C13"/>
    <w:rsid w:val="0094387E"/>
    <w:rsid w:val="009B2F4F"/>
    <w:rsid w:val="009C2E12"/>
    <w:rsid w:val="009F6C75"/>
    <w:rsid w:val="00A02E3E"/>
    <w:rsid w:val="00A0750F"/>
    <w:rsid w:val="00A23AD9"/>
    <w:rsid w:val="00AC786E"/>
    <w:rsid w:val="00BE11E9"/>
    <w:rsid w:val="00C60F86"/>
    <w:rsid w:val="00CC0613"/>
    <w:rsid w:val="00D85A02"/>
    <w:rsid w:val="00DF6503"/>
    <w:rsid w:val="00E7340A"/>
    <w:rsid w:val="00E85721"/>
    <w:rsid w:val="00ED00C5"/>
    <w:rsid w:val="00EF4671"/>
    <w:rsid w:val="00FE79E4"/>
    <w:rsid w:val="05F87288"/>
    <w:rsid w:val="0AC92A08"/>
    <w:rsid w:val="0B7958F6"/>
    <w:rsid w:val="0BF8739A"/>
    <w:rsid w:val="0DD51A64"/>
    <w:rsid w:val="0F1D1C49"/>
    <w:rsid w:val="13E2111A"/>
    <w:rsid w:val="171A08DD"/>
    <w:rsid w:val="173EE512"/>
    <w:rsid w:val="18CC3F9D"/>
    <w:rsid w:val="1CDFDABA"/>
    <w:rsid w:val="1CEE10B9"/>
    <w:rsid w:val="1E747B7C"/>
    <w:rsid w:val="1E7FF4C8"/>
    <w:rsid w:val="1EF22907"/>
    <w:rsid w:val="1FBA6F81"/>
    <w:rsid w:val="1FF6C8F7"/>
    <w:rsid w:val="277F7BE1"/>
    <w:rsid w:val="2F481DC8"/>
    <w:rsid w:val="33DFC853"/>
    <w:rsid w:val="341E5A97"/>
    <w:rsid w:val="3686A6A7"/>
    <w:rsid w:val="375F3193"/>
    <w:rsid w:val="3DB5D782"/>
    <w:rsid w:val="3DEF8A32"/>
    <w:rsid w:val="3EFF4E23"/>
    <w:rsid w:val="3F2D1732"/>
    <w:rsid w:val="3F7D6F1D"/>
    <w:rsid w:val="3FA88F82"/>
    <w:rsid w:val="40446D80"/>
    <w:rsid w:val="47DB92AA"/>
    <w:rsid w:val="47FA7F6B"/>
    <w:rsid w:val="48FFE443"/>
    <w:rsid w:val="4A21EAE2"/>
    <w:rsid w:val="4A6A4232"/>
    <w:rsid w:val="4FA73D35"/>
    <w:rsid w:val="54927612"/>
    <w:rsid w:val="55733E61"/>
    <w:rsid w:val="57B4D0D1"/>
    <w:rsid w:val="5A0674E6"/>
    <w:rsid w:val="5B4D2E2C"/>
    <w:rsid w:val="5BDED89A"/>
    <w:rsid w:val="5BFB4EF4"/>
    <w:rsid w:val="5BFC9B27"/>
    <w:rsid w:val="5DFEEF76"/>
    <w:rsid w:val="5E1E2B1A"/>
    <w:rsid w:val="5EDFE4F1"/>
    <w:rsid w:val="5FDFCC38"/>
    <w:rsid w:val="5FEBFA83"/>
    <w:rsid w:val="687F28B8"/>
    <w:rsid w:val="69FF297A"/>
    <w:rsid w:val="6AFD0B63"/>
    <w:rsid w:val="6CB11766"/>
    <w:rsid w:val="6D773CCE"/>
    <w:rsid w:val="6DFF0F7B"/>
    <w:rsid w:val="6EB53C20"/>
    <w:rsid w:val="6EDFDCE0"/>
    <w:rsid w:val="6FAF288A"/>
    <w:rsid w:val="6FDA1C33"/>
    <w:rsid w:val="6FEE5F14"/>
    <w:rsid w:val="6FF97897"/>
    <w:rsid w:val="6FFE9737"/>
    <w:rsid w:val="73854AE6"/>
    <w:rsid w:val="75BDCE2D"/>
    <w:rsid w:val="76395046"/>
    <w:rsid w:val="76F777D3"/>
    <w:rsid w:val="7793190E"/>
    <w:rsid w:val="77F5E23A"/>
    <w:rsid w:val="77FBAC79"/>
    <w:rsid w:val="79F965F5"/>
    <w:rsid w:val="7B0307B2"/>
    <w:rsid w:val="7BEFAD1B"/>
    <w:rsid w:val="7D3E2B63"/>
    <w:rsid w:val="7D739193"/>
    <w:rsid w:val="7DCEE900"/>
    <w:rsid w:val="7EB59591"/>
    <w:rsid w:val="7ED58983"/>
    <w:rsid w:val="7EFD5F37"/>
    <w:rsid w:val="7EFF0FCE"/>
    <w:rsid w:val="7F388986"/>
    <w:rsid w:val="7F6FDB15"/>
    <w:rsid w:val="7FBFCE21"/>
    <w:rsid w:val="7FD7DDBA"/>
    <w:rsid w:val="7FDFF030"/>
    <w:rsid w:val="7FEB4D3B"/>
    <w:rsid w:val="8FED705C"/>
    <w:rsid w:val="9B59F66F"/>
    <w:rsid w:val="9F7E8C3B"/>
    <w:rsid w:val="9FED8B32"/>
    <w:rsid w:val="A6EFA1A6"/>
    <w:rsid w:val="AFFF1593"/>
    <w:rsid w:val="B6DB8739"/>
    <w:rsid w:val="B77F9BAB"/>
    <w:rsid w:val="BACFF123"/>
    <w:rsid w:val="BC6F64B2"/>
    <w:rsid w:val="BDFFFC65"/>
    <w:rsid w:val="BF7B9831"/>
    <w:rsid w:val="BF7BAF45"/>
    <w:rsid w:val="BFDFC443"/>
    <w:rsid w:val="D37DB866"/>
    <w:rsid w:val="D57F6AAD"/>
    <w:rsid w:val="D5F2F5A0"/>
    <w:rsid w:val="D6F80727"/>
    <w:rsid w:val="D9DD19E6"/>
    <w:rsid w:val="D9FFB94C"/>
    <w:rsid w:val="DBFA6DCD"/>
    <w:rsid w:val="DFFB02BE"/>
    <w:rsid w:val="E5FF0916"/>
    <w:rsid w:val="E7C1B4A5"/>
    <w:rsid w:val="E7FF3CDD"/>
    <w:rsid w:val="E99D07C8"/>
    <w:rsid w:val="EB968E6A"/>
    <w:rsid w:val="EDF781F2"/>
    <w:rsid w:val="EDFB2E68"/>
    <w:rsid w:val="EFFF3DA8"/>
    <w:rsid w:val="F1FD9BAD"/>
    <w:rsid w:val="F3F49D56"/>
    <w:rsid w:val="F4F99FFA"/>
    <w:rsid w:val="F53BAF09"/>
    <w:rsid w:val="F5736E74"/>
    <w:rsid w:val="F5B79B90"/>
    <w:rsid w:val="F8BF3B6C"/>
    <w:rsid w:val="F9FDBBD9"/>
    <w:rsid w:val="FACF27F2"/>
    <w:rsid w:val="FADF850D"/>
    <w:rsid w:val="FBDD2633"/>
    <w:rsid w:val="FBFF3BAB"/>
    <w:rsid w:val="FDAA4356"/>
    <w:rsid w:val="FDBFF294"/>
    <w:rsid w:val="FDDE1266"/>
    <w:rsid w:val="FDF6113C"/>
    <w:rsid w:val="FFBB0900"/>
    <w:rsid w:val="FFBB8A9B"/>
    <w:rsid w:val="FFDE0483"/>
    <w:rsid w:val="FFE5846B"/>
    <w:rsid w:val="FFE78428"/>
    <w:rsid w:val="FFEBC547"/>
    <w:rsid w:val="FFF72F01"/>
    <w:rsid w:val="FFF7897C"/>
    <w:rsid w:val="FFF7D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1"/>
    <w:pPr>
      <w:spacing w:before="49"/>
      <w:ind w:left="118"/>
      <w:jc w:val="left"/>
    </w:pPr>
    <w:rPr>
      <w:rFonts w:ascii="Arial" w:hAnsi="Arial" w:eastAsia="Arial"/>
      <w:kern w:val="0"/>
      <w:sz w:val="39"/>
      <w:szCs w:val="39"/>
      <w:lang w:eastAsia="en-US"/>
    </w:r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7"/>
    <w:semiHidden/>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semiHidden/>
    <w:qFormat/>
    <w:uiPriority w:val="99"/>
    <w:rPr>
      <w:sz w:val="18"/>
      <w:szCs w:val="18"/>
    </w:rPr>
  </w:style>
  <w:style w:type="character" w:customStyle="1" w:styleId="16">
    <w:name w:val="正文文本 Char"/>
    <w:basedOn w:val="10"/>
    <w:link w:val="4"/>
    <w:qFormat/>
    <w:uiPriority w:val="1"/>
    <w:rPr>
      <w:rFonts w:ascii="Arial" w:hAnsi="Arial" w:eastAsia="Arial"/>
      <w:kern w:val="0"/>
      <w:sz w:val="39"/>
      <w:szCs w:val="39"/>
      <w:lang w:eastAsia="en-US"/>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8">
    <w:name w:val="公文标题1"/>
    <w:basedOn w:val="3"/>
    <w:qFormat/>
    <w:uiPriority w:val="0"/>
    <w:pPr>
      <w:spacing w:line="412" w:lineRule="auto"/>
    </w:pPr>
    <w:rPr>
      <w:rFonts w:ascii="Cambria" w:hAnsi="Cambria" w:eastAsiaTheme="minorEastAsia" w:cstheme="minorBidi"/>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1704</Words>
  <Characters>1763</Characters>
  <Lines>3</Lines>
  <Paragraphs>1</Paragraphs>
  <TotalTime>19</TotalTime>
  <ScaleCrop>false</ScaleCrop>
  <LinksUpToDate>false</LinksUpToDate>
  <CharactersWithSpaces>1793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2018-05-01T15:59:00Z</dcterms:created>
  <dc:creator>PC</dc:creator>
  <cp:lastModifiedBy>administrator</cp:lastModifiedBy>
  <cp:lastPrinted>2022-09-22T17:31:35Z</cp:lastPrinted>
  <dcterms:modified xsi:type="dcterms:W3CDTF">2022-09-22T17:37:32Z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26320E85696645018C0580DBE4201A1B</vt:lpwstr>
  </property>
</Properties>
</file>